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09" w:rsidRPr="0025375A" w:rsidRDefault="009A280F" w:rsidP="00DD5F5B">
      <w:pPr>
        <w:tabs>
          <w:tab w:val="left" w:pos="5103"/>
        </w:tabs>
        <w:jc w:val="right"/>
        <w:rPr>
          <w:sz w:val="18"/>
          <w:szCs w:val="18"/>
        </w:rPr>
      </w:pPr>
      <w:r w:rsidRPr="00D36721">
        <w:rPr>
          <w:sz w:val="22"/>
          <w:szCs w:val="22"/>
        </w:rPr>
        <w:tab/>
      </w:r>
    </w:p>
    <w:p w:rsidR="009A280F" w:rsidRPr="000C1F09" w:rsidRDefault="009A280F" w:rsidP="00460D54">
      <w:pPr>
        <w:tabs>
          <w:tab w:val="left" w:pos="5103"/>
        </w:tabs>
        <w:ind w:left="851" w:hanging="284"/>
        <w:jc w:val="center"/>
        <w:rPr>
          <w:sz w:val="18"/>
          <w:szCs w:val="18"/>
        </w:rPr>
      </w:pPr>
      <w:r w:rsidRPr="00D36721">
        <w:rPr>
          <w:b/>
          <w:sz w:val="22"/>
          <w:szCs w:val="22"/>
        </w:rPr>
        <w:t>Objaśnienia</w:t>
      </w:r>
      <w:r w:rsidR="00CC612E">
        <w:rPr>
          <w:b/>
          <w:bCs/>
          <w:color w:val="000000" w:themeColor="text1"/>
          <w:sz w:val="22"/>
          <w:szCs w:val="22"/>
        </w:rPr>
        <w:t xml:space="preserve"> wartości przyjętych do Wieloletniej Prognozy</w:t>
      </w:r>
      <w:r w:rsidR="00845F8F">
        <w:rPr>
          <w:b/>
          <w:bCs/>
          <w:color w:val="000000" w:themeColor="text1"/>
          <w:sz w:val="22"/>
          <w:szCs w:val="22"/>
        </w:rPr>
        <w:t xml:space="preserve"> F</w:t>
      </w:r>
      <w:r w:rsidRPr="00D36721">
        <w:rPr>
          <w:b/>
          <w:bCs/>
          <w:color w:val="000000" w:themeColor="text1"/>
          <w:sz w:val="22"/>
          <w:szCs w:val="22"/>
        </w:rPr>
        <w:t>inansowej</w:t>
      </w:r>
    </w:p>
    <w:p w:rsidR="00C07451" w:rsidRPr="00460D54" w:rsidRDefault="00DC7D4D" w:rsidP="00460D54">
      <w:pPr>
        <w:tabs>
          <w:tab w:val="left" w:pos="5103"/>
        </w:tabs>
        <w:ind w:firstLine="0"/>
        <w:jc w:val="center"/>
        <w:rPr>
          <w:b/>
          <w:sz w:val="22"/>
          <w:szCs w:val="22"/>
        </w:rPr>
      </w:pPr>
      <w:r w:rsidRPr="00D36721">
        <w:rPr>
          <w:b/>
          <w:sz w:val="22"/>
          <w:szCs w:val="22"/>
        </w:rPr>
        <w:t>Gminy Piława Górna</w:t>
      </w:r>
      <w:r w:rsidR="00D36721">
        <w:rPr>
          <w:b/>
          <w:sz w:val="22"/>
          <w:szCs w:val="22"/>
        </w:rPr>
        <w:t xml:space="preserve"> </w:t>
      </w:r>
      <w:r w:rsidR="005D7667">
        <w:rPr>
          <w:b/>
          <w:sz w:val="22"/>
          <w:szCs w:val="22"/>
        </w:rPr>
        <w:t>na lata 2015</w:t>
      </w:r>
      <w:r w:rsidR="009A280F" w:rsidRPr="00D36721">
        <w:rPr>
          <w:b/>
          <w:sz w:val="22"/>
          <w:szCs w:val="22"/>
        </w:rPr>
        <w:t xml:space="preserve"> - </w:t>
      </w:r>
      <w:r w:rsidR="005D7667">
        <w:rPr>
          <w:b/>
          <w:sz w:val="22"/>
          <w:szCs w:val="22"/>
        </w:rPr>
        <w:t>2023</w:t>
      </w:r>
    </w:p>
    <w:p w:rsidR="00460D54" w:rsidRDefault="00460D54" w:rsidP="00DD5F5B">
      <w:pPr>
        <w:ind w:firstLine="0"/>
        <w:jc w:val="both"/>
        <w:rPr>
          <w:b/>
          <w:sz w:val="22"/>
          <w:szCs w:val="22"/>
        </w:rPr>
      </w:pPr>
    </w:p>
    <w:p w:rsidR="00DD5F5B" w:rsidRPr="00A72515" w:rsidRDefault="00A72515" w:rsidP="00DD5F5B">
      <w:pPr>
        <w:ind w:firstLine="0"/>
        <w:jc w:val="both"/>
        <w:rPr>
          <w:b/>
          <w:sz w:val="22"/>
          <w:szCs w:val="22"/>
        </w:rPr>
      </w:pPr>
      <w:r w:rsidRPr="00A72515">
        <w:rPr>
          <w:b/>
          <w:sz w:val="22"/>
          <w:szCs w:val="22"/>
        </w:rPr>
        <w:t>Wstęp</w:t>
      </w:r>
    </w:p>
    <w:p w:rsidR="00CC612E" w:rsidRPr="00CC612E" w:rsidRDefault="00CC612E" w:rsidP="00DD5F5B">
      <w:pPr>
        <w:ind w:firstLine="0"/>
        <w:jc w:val="both"/>
        <w:rPr>
          <w:sz w:val="22"/>
          <w:szCs w:val="22"/>
        </w:rPr>
      </w:pPr>
      <w:r w:rsidRPr="00CC612E">
        <w:rPr>
          <w:sz w:val="22"/>
          <w:szCs w:val="22"/>
        </w:rPr>
        <w:t xml:space="preserve">W „Objaśnieniach </w:t>
      </w:r>
      <w:r>
        <w:rPr>
          <w:sz w:val="22"/>
          <w:szCs w:val="22"/>
        </w:rPr>
        <w:t xml:space="preserve">wartości przyjętych </w:t>
      </w:r>
      <w:r w:rsidRPr="00CC612E">
        <w:rPr>
          <w:sz w:val="22"/>
          <w:szCs w:val="22"/>
        </w:rPr>
        <w:t>do Wieloletniej Progn</w:t>
      </w:r>
      <w:r>
        <w:rPr>
          <w:sz w:val="22"/>
          <w:szCs w:val="22"/>
        </w:rPr>
        <w:t xml:space="preserve">ozy Finansowej </w:t>
      </w:r>
      <w:r w:rsidR="001F1972">
        <w:rPr>
          <w:sz w:val="22"/>
          <w:szCs w:val="22"/>
        </w:rPr>
        <w:t>Gminy Pił</w:t>
      </w:r>
      <w:r w:rsidR="000C09BF">
        <w:rPr>
          <w:sz w:val="22"/>
          <w:szCs w:val="22"/>
        </w:rPr>
        <w:t xml:space="preserve">awa Górna </w:t>
      </w:r>
      <w:r w:rsidR="000C09BF">
        <w:rPr>
          <w:sz w:val="22"/>
          <w:szCs w:val="22"/>
        </w:rPr>
        <w:br/>
      </w:r>
      <w:r>
        <w:rPr>
          <w:sz w:val="22"/>
          <w:szCs w:val="22"/>
        </w:rPr>
        <w:t>na la</w:t>
      </w:r>
      <w:r w:rsidR="005D7667">
        <w:rPr>
          <w:sz w:val="22"/>
          <w:szCs w:val="22"/>
        </w:rPr>
        <w:t>ta 2015-2023</w:t>
      </w:r>
      <w:r w:rsidRPr="00CC612E">
        <w:rPr>
          <w:sz w:val="22"/>
          <w:szCs w:val="22"/>
        </w:rPr>
        <w:t>”</w:t>
      </w:r>
      <w:r w:rsidR="000C09BF">
        <w:rPr>
          <w:sz w:val="22"/>
          <w:szCs w:val="22"/>
        </w:rPr>
        <w:t xml:space="preserve"> </w:t>
      </w:r>
      <w:r w:rsidR="00A72515">
        <w:rPr>
          <w:sz w:val="22"/>
          <w:szCs w:val="22"/>
        </w:rPr>
        <w:t xml:space="preserve">prezentowane </w:t>
      </w:r>
      <w:r w:rsidR="001F1972">
        <w:rPr>
          <w:sz w:val="22"/>
          <w:szCs w:val="22"/>
        </w:rPr>
        <w:t xml:space="preserve">są </w:t>
      </w:r>
      <w:r w:rsidR="003B08F1">
        <w:rPr>
          <w:sz w:val="22"/>
          <w:szCs w:val="22"/>
        </w:rPr>
        <w:t>o</w:t>
      </w:r>
      <w:r w:rsidRPr="00CC612E">
        <w:rPr>
          <w:sz w:val="22"/>
          <w:szCs w:val="22"/>
        </w:rPr>
        <w:t>bjaśnienia przyjętych wartości zarówno po</w:t>
      </w:r>
      <w:r w:rsidR="000C09BF">
        <w:rPr>
          <w:sz w:val="22"/>
          <w:szCs w:val="22"/>
        </w:rPr>
        <w:t xml:space="preserve"> </w:t>
      </w:r>
      <w:r w:rsidRPr="00CC612E">
        <w:rPr>
          <w:sz w:val="22"/>
          <w:szCs w:val="22"/>
        </w:rPr>
        <w:t xml:space="preserve">stronie dochodów </w:t>
      </w:r>
      <w:r w:rsidR="006841AA">
        <w:rPr>
          <w:sz w:val="22"/>
          <w:szCs w:val="22"/>
        </w:rPr>
        <w:br/>
      </w:r>
      <w:r w:rsidRPr="00CC612E">
        <w:rPr>
          <w:sz w:val="22"/>
          <w:szCs w:val="22"/>
        </w:rPr>
        <w:t>jak i wydatków, przychody i rozchody budżetu jednostki samorządu</w:t>
      </w:r>
      <w:r w:rsidR="000C09BF">
        <w:rPr>
          <w:sz w:val="22"/>
          <w:szCs w:val="22"/>
        </w:rPr>
        <w:t xml:space="preserve"> </w:t>
      </w:r>
      <w:r w:rsidRPr="00CC612E">
        <w:rPr>
          <w:sz w:val="22"/>
          <w:szCs w:val="22"/>
        </w:rPr>
        <w:t>terytorialnego, z uwzględnieniem długu zaciągniętego oraz planowanego do zaciągnięcia.</w:t>
      </w:r>
    </w:p>
    <w:p w:rsidR="000C1F09" w:rsidRDefault="00561314" w:rsidP="00DD5F5B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Wieloletnia Prognoza Fi</w:t>
      </w:r>
      <w:r w:rsidR="00412476">
        <w:rPr>
          <w:sz w:val="22"/>
          <w:szCs w:val="22"/>
        </w:rPr>
        <w:t>nansowa</w:t>
      </w:r>
      <w:r>
        <w:rPr>
          <w:sz w:val="22"/>
          <w:szCs w:val="22"/>
        </w:rPr>
        <w:t>(dalej WPF)</w:t>
      </w:r>
      <w:r w:rsidR="00412476">
        <w:rPr>
          <w:sz w:val="22"/>
          <w:szCs w:val="22"/>
        </w:rPr>
        <w:t xml:space="preserve"> obejmuje okres</w:t>
      </w:r>
      <w:r w:rsidR="005D7667">
        <w:rPr>
          <w:sz w:val="22"/>
          <w:szCs w:val="22"/>
        </w:rPr>
        <w:t xml:space="preserve"> od 2015</w:t>
      </w:r>
      <w:r w:rsidR="00412476">
        <w:rPr>
          <w:sz w:val="22"/>
          <w:szCs w:val="22"/>
        </w:rPr>
        <w:t xml:space="preserve"> roku </w:t>
      </w:r>
      <w:r w:rsidR="00B53448">
        <w:rPr>
          <w:sz w:val="22"/>
          <w:szCs w:val="22"/>
        </w:rPr>
        <w:t>do 20</w:t>
      </w:r>
      <w:r w:rsidR="005D7667">
        <w:rPr>
          <w:sz w:val="22"/>
          <w:szCs w:val="22"/>
        </w:rPr>
        <w:t>23</w:t>
      </w:r>
      <w:r w:rsidR="00412476">
        <w:rPr>
          <w:sz w:val="22"/>
          <w:szCs w:val="22"/>
        </w:rPr>
        <w:t xml:space="preserve"> roku, na który </w:t>
      </w:r>
      <w:r>
        <w:rPr>
          <w:sz w:val="22"/>
          <w:szCs w:val="22"/>
        </w:rPr>
        <w:br/>
      </w:r>
      <w:r w:rsidR="00B53448">
        <w:rPr>
          <w:sz w:val="22"/>
          <w:szCs w:val="22"/>
        </w:rPr>
        <w:t xml:space="preserve">zaciągnięto oraz </w:t>
      </w:r>
      <w:r w:rsidR="00412476">
        <w:rPr>
          <w:sz w:val="22"/>
          <w:szCs w:val="22"/>
        </w:rPr>
        <w:t>planuje się zaciągnąć zobowiązania.</w:t>
      </w:r>
      <w:r w:rsidR="000C09BF" w:rsidRPr="000C09BF">
        <w:rPr>
          <w:sz w:val="24"/>
          <w:szCs w:val="24"/>
        </w:rPr>
        <w:t xml:space="preserve"> </w:t>
      </w:r>
      <w:r w:rsidR="000C09BF" w:rsidRPr="000C09BF">
        <w:rPr>
          <w:sz w:val="22"/>
          <w:szCs w:val="22"/>
        </w:rPr>
        <w:t>Założono, iż kredyty</w:t>
      </w:r>
      <w:r w:rsidR="000C09BF">
        <w:rPr>
          <w:sz w:val="22"/>
          <w:szCs w:val="22"/>
        </w:rPr>
        <w:t>,</w:t>
      </w:r>
      <w:r w:rsidR="00416650">
        <w:rPr>
          <w:sz w:val="22"/>
          <w:szCs w:val="22"/>
        </w:rPr>
        <w:t xml:space="preserve"> pożyczki będą zaciągane w 2015 r. Emisja obligacji komunalnych nastąpi również w 2015 r.</w:t>
      </w:r>
    </w:p>
    <w:p w:rsidR="00DD5F5B" w:rsidRPr="00412476" w:rsidRDefault="00DD5F5B" w:rsidP="00DD5F5B">
      <w:pPr>
        <w:ind w:firstLine="0"/>
        <w:jc w:val="both"/>
        <w:rPr>
          <w:sz w:val="22"/>
          <w:szCs w:val="22"/>
        </w:rPr>
      </w:pPr>
    </w:p>
    <w:p w:rsidR="009A280F" w:rsidRDefault="001D433F" w:rsidP="00DD5F5B">
      <w:pPr>
        <w:pStyle w:val="Akapitzlist"/>
        <w:keepNext/>
        <w:numPr>
          <w:ilvl w:val="0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0C09BF">
        <w:rPr>
          <w:b/>
          <w:sz w:val="22"/>
          <w:szCs w:val="22"/>
        </w:rPr>
        <w:t>D</w:t>
      </w:r>
      <w:r w:rsidR="00366831">
        <w:rPr>
          <w:b/>
          <w:sz w:val="22"/>
          <w:szCs w:val="22"/>
        </w:rPr>
        <w:t xml:space="preserve">ochody </w:t>
      </w:r>
    </w:p>
    <w:p w:rsidR="009710E0" w:rsidRPr="003F18AC" w:rsidRDefault="003F18AC" w:rsidP="00DD5F5B">
      <w:p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3F18AC">
        <w:rPr>
          <w:sz w:val="22"/>
          <w:szCs w:val="22"/>
        </w:rPr>
        <w:t>Założenia dotyczące kształtowania się najistotniejszych grup i źródeł dochodów bieżących</w:t>
      </w:r>
      <w:r>
        <w:rPr>
          <w:sz w:val="22"/>
          <w:szCs w:val="22"/>
        </w:rPr>
        <w:t xml:space="preserve"> </w:t>
      </w:r>
      <w:r w:rsidRPr="003F18AC">
        <w:rPr>
          <w:sz w:val="22"/>
          <w:szCs w:val="22"/>
        </w:rPr>
        <w:t>w k</w:t>
      </w:r>
      <w:r w:rsidRPr="003F18AC">
        <w:rPr>
          <w:sz w:val="22"/>
          <w:szCs w:val="22"/>
        </w:rPr>
        <w:t>o</w:t>
      </w:r>
      <w:r w:rsidRPr="003F18AC">
        <w:rPr>
          <w:sz w:val="22"/>
          <w:szCs w:val="22"/>
        </w:rPr>
        <w:t>lejnych latach zostały ustalone w oparciu o historyczną analizę</w:t>
      </w:r>
      <w:r>
        <w:rPr>
          <w:sz w:val="22"/>
          <w:szCs w:val="22"/>
        </w:rPr>
        <w:t xml:space="preserve"> </w:t>
      </w:r>
      <w:r w:rsidRPr="003F18AC">
        <w:rPr>
          <w:sz w:val="22"/>
          <w:szCs w:val="22"/>
        </w:rPr>
        <w:t>poszczególnych źródeł i prognozę wskaźników makroekonomicznych</w:t>
      </w:r>
      <w:r>
        <w:rPr>
          <w:sz w:val="22"/>
          <w:szCs w:val="22"/>
        </w:rPr>
        <w:t>.</w:t>
      </w:r>
    </w:p>
    <w:p w:rsidR="003F18AC" w:rsidRPr="003F18AC" w:rsidRDefault="003F18AC" w:rsidP="00DD5F5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Dynamika dochodów bieżących z tytułu  z podatków i opłat lokalnych w latach historycznych </w:t>
      </w:r>
      <w:r w:rsidRPr="003F18AC">
        <w:rPr>
          <w:sz w:val="22"/>
          <w:szCs w:val="22"/>
        </w:rPr>
        <w:t>była zmienna</w:t>
      </w:r>
      <w:r>
        <w:rPr>
          <w:sz w:val="24"/>
          <w:szCs w:val="24"/>
        </w:rPr>
        <w:t xml:space="preserve">, </w:t>
      </w:r>
      <w:r w:rsidRPr="003F18AC">
        <w:rPr>
          <w:sz w:val="22"/>
          <w:szCs w:val="22"/>
        </w:rPr>
        <w:t>co wynikało ze zmienności bazy objętej opodatkowaniem.</w:t>
      </w:r>
      <w:r>
        <w:rPr>
          <w:sz w:val="22"/>
          <w:szCs w:val="22"/>
        </w:rPr>
        <w:t xml:space="preserve"> </w:t>
      </w:r>
      <w:r w:rsidRPr="003F18AC">
        <w:rPr>
          <w:sz w:val="22"/>
          <w:szCs w:val="22"/>
        </w:rPr>
        <w:t>Kolejne lata wskazują na dalszy wzrost dochodów w tej grupie przede wszystkim za sprawą założonego wzrostu wpływów w podatku od n</w:t>
      </w:r>
      <w:r w:rsidR="008D2CA7">
        <w:rPr>
          <w:sz w:val="22"/>
          <w:szCs w:val="22"/>
        </w:rPr>
        <w:t xml:space="preserve">ieruchomości oraz wpływem opłaty za odpady komunalne. </w:t>
      </w:r>
      <w:r w:rsidR="005D7667">
        <w:rPr>
          <w:sz w:val="22"/>
          <w:szCs w:val="22"/>
        </w:rPr>
        <w:t xml:space="preserve"> W roku 2015</w:t>
      </w:r>
      <w:r w:rsidR="000F7097">
        <w:rPr>
          <w:sz w:val="22"/>
          <w:szCs w:val="22"/>
        </w:rPr>
        <w:t xml:space="preserve"> </w:t>
      </w:r>
      <w:r w:rsidRPr="003F18AC">
        <w:rPr>
          <w:sz w:val="22"/>
          <w:szCs w:val="22"/>
        </w:rPr>
        <w:t xml:space="preserve">przewidywany jest ok. </w:t>
      </w:r>
      <w:r w:rsidR="005D7667">
        <w:rPr>
          <w:sz w:val="22"/>
          <w:szCs w:val="22"/>
        </w:rPr>
        <w:t>7</w:t>
      </w:r>
      <w:r w:rsidRPr="000F7097">
        <w:rPr>
          <w:sz w:val="22"/>
          <w:szCs w:val="22"/>
        </w:rPr>
        <w:t>%</w:t>
      </w:r>
      <w:r w:rsidR="005D7667">
        <w:rPr>
          <w:sz w:val="22"/>
          <w:szCs w:val="22"/>
        </w:rPr>
        <w:t xml:space="preserve"> spadek</w:t>
      </w:r>
      <w:r w:rsidR="000F7097">
        <w:rPr>
          <w:sz w:val="22"/>
          <w:szCs w:val="22"/>
        </w:rPr>
        <w:t xml:space="preserve"> dochodów.</w:t>
      </w:r>
    </w:p>
    <w:p w:rsidR="00547CB5" w:rsidRPr="00316D44" w:rsidRDefault="005D7667" w:rsidP="00DD5F5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Dochody roku 2015</w:t>
      </w:r>
      <w:r w:rsidR="00547CB5" w:rsidRPr="00547CB5">
        <w:rPr>
          <w:sz w:val="22"/>
          <w:szCs w:val="22"/>
        </w:rPr>
        <w:t xml:space="preserve"> oszacowano na podstawie</w:t>
      </w:r>
      <w:r>
        <w:rPr>
          <w:sz w:val="22"/>
          <w:szCs w:val="22"/>
        </w:rPr>
        <w:t xml:space="preserve"> przewidywanego wykonania w 2014</w:t>
      </w:r>
      <w:r w:rsidR="00547CB5" w:rsidRPr="00547CB5">
        <w:rPr>
          <w:sz w:val="22"/>
          <w:szCs w:val="22"/>
        </w:rPr>
        <w:t xml:space="preserve"> roku. </w:t>
      </w:r>
      <w:r w:rsidR="00366831">
        <w:rPr>
          <w:sz w:val="22"/>
          <w:szCs w:val="22"/>
        </w:rPr>
        <w:br/>
      </w:r>
      <w:r w:rsidR="00547CB5" w:rsidRPr="00547CB5">
        <w:rPr>
          <w:sz w:val="22"/>
          <w:szCs w:val="22"/>
        </w:rPr>
        <w:t>Dla ustalenia wielkości doch</w:t>
      </w:r>
      <w:r>
        <w:rPr>
          <w:sz w:val="22"/>
          <w:szCs w:val="22"/>
        </w:rPr>
        <w:t>odów w kolejnych latach tj. 2016 -2023</w:t>
      </w:r>
      <w:r w:rsidR="00547CB5" w:rsidRPr="00547CB5">
        <w:rPr>
          <w:sz w:val="22"/>
          <w:szCs w:val="22"/>
        </w:rPr>
        <w:t xml:space="preserve"> podstawą była wielkość roku bezpośrednio poprzedzającego, powiększona o wskaźnik dynamiki cen towarów i </w:t>
      </w:r>
      <w:r w:rsidR="00547CB5" w:rsidRPr="000F7097">
        <w:rPr>
          <w:sz w:val="22"/>
          <w:szCs w:val="22"/>
        </w:rPr>
        <w:t>usług,</w:t>
      </w:r>
      <w:r w:rsidR="000F7097">
        <w:rPr>
          <w:sz w:val="22"/>
          <w:szCs w:val="22"/>
        </w:rPr>
        <w:t xml:space="preserve">  zgodnie z </w:t>
      </w:r>
      <w:r w:rsidR="00547CB5" w:rsidRPr="00547CB5">
        <w:rPr>
          <w:sz w:val="22"/>
          <w:szCs w:val="22"/>
        </w:rPr>
        <w:t xml:space="preserve">wytycznymi Ministerstwa Finansów dotyczącymi założeń makroekonomicznych na </w:t>
      </w:r>
      <w:r w:rsidR="00547CB5" w:rsidRPr="00316D44">
        <w:rPr>
          <w:sz w:val="22"/>
          <w:szCs w:val="22"/>
        </w:rPr>
        <w:t xml:space="preserve">potrzeby wieloletnich prognoz finansowych jednostek samorządu terytorialnego </w:t>
      </w:r>
    </w:p>
    <w:p w:rsidR="00C216AF" w:rsidRPr="00316D44" w:rsidRDefault="00C216AF" w:rsidP="00DD5F5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316D44">
        <w:rPr>
          <w:sz w:val="22"/>
          <w:szCs w:val="22"/>
        </w:rPr>
        <w:t>Bazą do prognozy poziomu sub</w:t>
      </w:r>
      <w:r w:rsidR="005D7667">
        <w:rPr>
          <w:sz w:val="22"/>
          <w:szCs w:val="22"/>
        </w:rPr>
        <w:t>wencji ogólnej jest plan na 2015</w:t>
      </w:r>
      <w:r w:rsidRPr="00316D44">
        <w:rPr>
          <w:sz w:val="22"/>
          <w:szCs w:val="22"/>
        </w:rPr>
        <w:t xml:space="preserve"> r. przyjęty zgodnie z pismem</w:t>
      </w:r>
      <w:r w:rsidR="00CD23D3" w:rsidRPr="00316D44">
        <w:rPr>
          <w:sz w:val="22"/>
          <w:szCs w:val="22"/>
        </w:rPr>
        <w:t xml:space="preserve"> </w:t>
      </w:r>
      <w:r w:rsidR="00CD23D3" w:rsidRPr="00316D44">
        <w:rPr>
          <w:sz w:val="22"/>
          <w:szCs w:val="22"/>
        </w:rPr>
        <w:br/>
        <w:t>Ministerstwa Finansów z dnia 10 pa</w:t>
      </w:r>
      <w:r w:rsidR="00776CC9" w:rsidRPr="00316D44">
        <w:rPr>
          <w:sz w:val="22"/>
          <w:szCs w:val="22"/>
        </w:rPr>
        <w:t>ździernika 2013 r. nr ST3/4820</w:t>
      </w:r>
      <w:r w:rsidR="005D7667">
        <w:rPr>
          <w:sz w:val="22"/>
          <w:szCs w:val="22"/>
        </w:rPr>
        <w:t>/16</w:t>
      </w:r>
      <w:r w:rsidR="00CD23D3" w:rsidRPr="00316D44">
        <w:rPr>
          <w:sz w:val="22"/>
          <w:szCs w:val="22"/>
        </w:rPr>
        <w:t>/201</w:t>
      </w:r>
      <w:r w:rsidR="005D7667">
        <w:rPr>
          <w:sz w:val="22"/>
          <w:szCs w:val="22"/>
        </w:rPr>
        <w:t>4</w:t>
      </w:r>
      <w:r w:rsidR="00D60EA5">
        <w:rPr>
          <w:sz w:val="22"/>
          <w:szCs w:val="22"/>
        </w:rPr>
        <w:t>. W</w:t>
      </w:r>
      <w:r w:rsidR="000F7097">
        <w:rPr>
          <w:sz w:val="22"/>
          <w:szCs w:val="22"/>
        </w:rPr>
        <w:t xml:space="preserve"> 2015</w:t>
      </w:r>
      <w:r w:rsidRPr="00316D44">
        <w:rPr>
          <w:sz w:val="22"/>
          <w:szCs w:val="22"/>
        </w:rPr>
        <w:t xml:space="preserve"> </w:t>
      </w:r>
      <w:r w:rsidR="00D60EA5">
        <w:rPr>
          <w:sz w:val="22"/>
          <w:szCs w:val="22"/>
        </w:rPr>
        <w:t>roku przyję</w:t>
      </w:r>
      <w:r w:rsidR="005D7667">
        <w:rPr>
          <w:sz w:val="22"/>
          <w:szCs w:val="22"/>
        </w:rPr>
        <w:t>to wzrost o 1,2</w:t>
      </w:r>
      <w:r w:rsidR="00D60EA5">
        <w:rPr>
          <w:sz w:val="22"/>
          <w:szCs w:val="22"/>
        </w:rPr>
        <w:t xml:space="preserve">%, </w:t>
      </w:r>
      <w:r w:rsidR="000F7097">
        <w:rPr>
          <w:sz w:val="22"/>
          <w:szCs w:val="22"/>
        </w:rPr>
        <w:t xml:space="preserve"> w 2016</w:t>
      </w:r>
      <w:r w:rsidR="00D60EA5">
        <w:rPr>
          <w:sz w:val="22"/>
          <w:szCs w:val="22"/>
        </w:rPr>
        <w:t xml:space="preserve"> roku</w:t>
      </w:r>
      <w:r w:rsidRPr="00316D44">
        <w:rPr>
          <w:sz w:val="22"/>
          <w:szCs w:val="22"/>
        </w:rPr>
        <w:t xml:space="preserve"> </w:t>
      </w:r>
      <w:r w:rsidR="00D60EA5">
        <w:rPr>
          <w:sz w:val="22"/>
          <w:szCs w:val="22"/>
        </w:rPr>
        <w:t xml:space="preserve">o 4,3%, w 2017 roku o 4,1%  i w 2018 roku o 4,1%. </w:t>
      </w:r>
      <w:r w:rsidRPr="00316D44">
        <w:rPr>
          <w:sz w:val="22"/>
          <w:szCs w:val="22"/>
        </w:rPr>
        <w:t>Z</w:t>
      </w:r>
      <w:r w:rsidRPr="00316D44">
        <w:rPr>
          <w:sz w:val="22"/>
          <w:szCs w:val="22"/>
        </w:rPr>
        <w:t>a</w:t>
      </w:r>
      <w:r w:rsidRPr="00316D44">
        <w:rPr>
          <w:sz w:val="22"/>
          <w:szCs w:val="22"/>
        </w:rPr>
        <w:t>łożony wzrost subwencji ogólnej wpisuje się w założenia zaprezentowane w Wieloletnim Planie Finansow</w:t>
      </w:r>
      <w:r w:rsidR="00A72515" w:rsidRPr="00316D44">
        <w:rPr>
          <w:sz w:val="22"/>
          <w:szCs w:val="22"/>
        </w:rPr>
        <w:t>ym Państwa.</w:t>
      </w:r>
    </w:p>
    <w:p w:rsidR="000C09BF" w:rsidRPr="00316D44" w:rsidRDefault="000C09BF" w:rsidP="00DD5F5B">
      <w:pPr>
        <w:pStyle w:val="Akapitzlist"/>
        <w:numPr>
          <w:ilvl w:val="0"/>
          <w:numId w:val="31"/>
        </w:numPr>
        <w:ind w:left="567"/>
        <w:jc w:val="both"/>
        <w:rPr>
          <w:sz w:val="22"/>
          <w:szCs w:val="22"/>
        </w:rPr>
      </w:pPr>
      <w:r w:rsidRPr="00316D44">
        <w:rPr>
          <w:sz w:val="22"/>
          <w:szCs w:val="22"/>
        </w:rPr>
        <w:t xml:space="preserve">Dochody z tytułu dotacji celowych z budżetu państwa na zadania własne, zlecone i powierzone </w:t>
      </w:r>
      <w:r w:rsidR="00C216AF" w:rsidRPr="00316D44">
        <w:rPr>
          <w:sz w:val="22"/>
          <w:szCs w:val="22"/>
        </w:rPr>
        <w:br/>
      </w:r>
      <w:r w:rsidRPr="00316D44">
        <w:rPr>
          <w:sz w:val="22"/>
          <w:szCs w:val="22"/>
        </w:rPr>
        <w:t>zostały</w:t>
      </w:r>
      <w:r w:rsidR="00A72515" w:rsidRPr="00316D44">
        <w:rPr>
          <w:sz w:val="22"/>
          <w:szCs w:val="22"/>
        </w:rPr>
        <w:t xml:space="preserve"> oszacowane </w:t>
      </w:r>
      <w:r w:rsidRPr="00316D44">
        <w:rPr>
          <w:sz w:val="22"/>
          <w:szCs w:val="22"/>
        </w:rPr>
        <w:t>na stałym poziomie. Jako wielkości bazowe przyjęto wielkoś</w:t>
      </w:r>
      <w:r w:rsidR="008D2CA7" w:rsidRPr="00316D44">
        <w:rPr>
          <w:sz w:val="22"/>
          <w:szCs w:val="22"/>
        </w:rPr>
        <w:t>ci planowane do uzyskania w 2014</w:t>
      </w:r>
      <w:r w:rsidRPr="00316D44">
        <w:rPr>
          <w:sz w:val="22"/>
          <w:szCs w:val="22"/>
        </w:rPr>
        <w:t xml:space="preserve"> r. Dotacje celowe z budżetu państwa zostały przyjęte na poziomie zgo</w:t>
      </w:r>
      <w:r w:rsidRPr="00316D44">
        <w:rPr>
          <w:sz w:val="22"/>
          <w:szCs w:val="22"/>
        </w:rPr>
        <w:t>d</w:t>
      </w:r>
      <w:r w:rsidRPr="00316D44">
        <w:rPr>
          <w:sz w:val="22"/>
          <w:szCs w:val="22"/>
        </w:rPr>
        <w:t>nym z informacją W</w:t>
      </w:r>
      <w:r w:rsidR="00CD23D3" w:rsidRPr="00316D44">
        <w:rPr>
          <w:sz w:val="22"/>
          <w:szCs w:val="22"/>
        </w:rPr>
        <w:t>ojewody Dolnośląsk</w:t>
      </w:r>
      <w:r w:rsidR="009C227E">
        <w:rPr>
          <w:sz w:val="22"/>
          <w:szCs w:val="22"/>
        </w:rPr>
        <w:t>iego z dnia 22</w:t>
      </w:r>
      <w:r w:rsidR="00776CC9" w:rsidRPr="00316D44">
        <w:rPr>
          <w:sz w:val="22"/>
          <w:szCs w:val="22"/>
        </w:rPr>
        <w:t>.10.</w:t>
      </w:r>
      <w:r w:rsidR="009C227E">
        <w:rPr>
          <w:sz w:val="22"/>
          <w:szCs w:val="22"/>
        </w:rPr>
        <w:t>2014</w:t>
      </w:r>
      <w:r w:rsidR="00C216AF" w:rsidRPr="00316D44">
        <w:rPr>
          <w:sz w:val="22"/>
          <w:szCs w:val="22"/>
        </w:rPr>
        <w:t xml:space="preserve"> </w:t>
      </w:r>
      <w:r w:rsidRPr="00316D44">
        <w:rPr>
          <w:sz w:val="22"/>
          <w:szCs w:val="22"/>
        </w:rPr>
        <w:t>r.</w:t>
      </w:r>
      <w:r w:rsidR="009C227E">
        <w:rPr>
          <w:sz w:val="22"/>
          <w:szCs w:val="22"/>
        </w:rPr>
        <w:t xml:space="preserve"> FB-BP.3110.6</w:t>
      </w:r>
      <w:r w:rsidR="008D2CA7" w:rsidRPr="00316D44">
        <w:rPr>
          <w:sz w:val="22"/>
          <w:szCs w:val="22"/>
        </w:rPr>
        <w:t>.2</w:t>
      </w:r>
      <w:r w:rsidR="009C227E">
        <w:rPr>
          <w:sz w:val="22"/>
          <w:szCs w:val="22"/>
        </w:rPr>
        <w:t>014</w:t>
      </w:r>
      <w:r w:rsidRPr="00316D44">
        <w:rPr>
          <w:sz w:val="22"/>
          <w:szCs w:val="22"/>
        </w:rPr>
        <w:t>.</w:t>
      </w:r>
      <w:r w:rsidR="00776CC9" w:rsidRPr="00316D44">
        <w:rPr>
          <w:sz w:val="22"/>
          <w:szCs w:val="22"/>
        </w:rPr>
        <w:t>Ksz</w:t>
      </w:r>
    </w:p>
    <w:p w:rsidR="00547CB5" w:rsidRPr="009C227E" w:rsidRDefault="00547CB5" w:rsidP="00776CC9">
      <w:pPr>
        <w:pStyle w:val="Akapitzlist"/>
        <w:numPr>
          <w:ilvl w:val="0"/>
          <w:numId w:val="31"/>
        </w:numPr>
        <w:ind w:left="567"/>
        <w:jc w:val="both"/>
        <w:rPr>
          <w:color w:val="FF0000"/>
          <w:sz w:val="22"/>
          <w:szCs w:val="22"/>
        </w:rPr>
      </w:pPr>
      <w:r w:rsidRPr="009C227E">
        <w:rPr>
          <w:sz w:val="22"/>
          <w:szCs w:val="22"/>
        </w:rPr>
        <w:t>Przyjęto, że udziały w podatku dochodowym od osób fizycznych i prawnych będą wzrastały odpowiednio w powiązaniu z prognozowanym wskaźnikiem inflacji oraz częściowo wskaźn</w:t>
      </w:r>
      <w:r w:rsidRPr="009C227E">
        <w:rPr>
          <w:sz w:val="22"/>
          <w:szCs w:val="22"/>
        </w:rPr>
        <w:t>i</w:t>
      </w:r>
      <w:r w:rsidRPr="009C227E">
        <w:rPr>
          <w:sz w:val="22"/>
          <w:szCs w:val="22"/>
        </w:rPr>
        <w:t xml:space="preserve">kiem wzrostu gospodarczego. </w:t>
      </w:r>
    </w:p>
    <w:p w:rsidR="00AB4AB2" w:rsidRPr="009C227E" w:rsidRDefault="00347C68" w:rsidP="009C227E">
      <w:pPr>
        <w:pStyle w:val="Akapitzlist"/>
        <w:numPr>
          <w:ilvl w:val="0"/>
          <w:numId w:val="31"/>
        </w:numPr>
        <w:ind w:left="567"/>
        <w:jc w:val="both"/>
        <w:rPr>
          <w:sz w:val="22"/>
          <w:szCs w:val="22"/>
        </w:rPr>
      </w:pPr>
      <w:r w:rsidRPr="00347C68">
        <w:rPr>
          <w:sz w:val="22"/>
          <w:szCs w:val="22"/>
        </w:rPr>
        <w:t>Ujęto w Wieloletniej Prognozie Finansowej uprawdopodobnione wielkości dochodów ze sprz</w:t>
      </w:r>
      <w:r w:rsidRPr="00347C68">
        <w:rPr>
          <w:sz w:val="22"/>
          <w:szCs w:val="22"/>
        </w:rPr>
        <w:t>e</w:t>
      </w:r>
      <w:r w:rsidRPr="00347C68">
        <w:rPr>
          <w:sz w:val="22"/>
          <w:szCs w:val="22"/>
        </w:rPr>
        <w:t>daży mienia</w:t>
      </w:r>
      <w:r w:rsidR="009C227E">
        <w:rPr>
          <w:sz w:val="22"/>
          <w:szCs w:val="22"/>
        </w:rPr>
        <w:t xml:space="preserve"> komunalnego </w:t>
      </w:r>
      <w:r w:rsidR="009C227E" w:rsidRPr="009C227E">
        <w:rPr>
          <w:sz w:val="22"/>
          <w:szCs w:val="22"/>
        </w:rPr>
        <w:t>w 2015</w:t>
      </w:r>
      <w:r w:rsidR="009C227E">
        <w:rPr>
          <w:sz w:val="22"/>
          <w:szCs w:val="22"/>
        </w:rPr>
        <w:t xml:space="preserve"> roku  wysokości</w:t>
      </w:r>
      <w:r w:rsidR="009C227E" w:rsidRPr="009C227E">
        <w:rPr>
          <w:sz w:val="22"/>
          <w:szCs w:val="22"/>
        </w:rPr>
        <w:t xml:space="preserve"> 400 000 zł</w:t>
      </w:r>
      <w:r w:rsidRPr="00347C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9210C" w:rsidRPr="00347C68">
        <w:rPr>
          <w:sz w:val="22"/>
          <w:szCs w:val="22"/>
        </w:rPr>
        <w:t xml:space="preserve">Dochody </w:t>
      </w:r>
      <w:r w:rsidR="00F216FA" w:rsidRPr="00347C68">
        <w:rPr>
          <w:sz w:val="22"/>
          <w:szCs w:val="22"/>
        </w:rPr>
        <w:t xml:space="preserve">majątkowe </w:t>
      </w:r>
      <w:r w:rsidR="00B9210C" w:rsidRPr="00347C68">
        <w:rPr>
          <w:sz w:val="22"/>
          <w:szCs w:val="22"/>
        </w:rPr>
        <w:t>ze sprz</w:t>
      </w:r>
      <w:r w:rsidR="00B9210C" w:rsidRPr="00347C68">
        <w:rPr>
          <w:sz w:val="22"/>
          <w:szCs w:val="22"/>
        </w:rPr>
        <w:t>e</w:t>
      </w:r>
      <w:r w:rsidR="00B9210C" w:rsidRPr="00347C68">
        <w:rPr>
          <w:sz w:val="22"/>
          <w:szCs w:val="22"/>
        </w:rPr>
        <w:t>daży</w:t>
      </w:r>
      <w:r w:rsidRPr="00347C68">
        <w:rPr>
          <w:sz w:val="22"/>
          <w:szCs w:val="22"/>
        </w:rPr>
        <w:t xml:space="preserve"> mienia komunalnego</w:t>
      </w:r>
      <w:r w:rsidR="00B9210C" w:rsidRPr="00347C68">
        <w:rPr>
          <w:sz w:val="22"/>
          <w:szCs w:val="22"/>
        </w:rPr>
        <w:t>, na które złożyły się dochody ze: zbycia działek</w:t>
      </w:r>
      <w:r w:rsidR="008D2CA7">
        <w:rPr>
          <w:sz w:val="22"/>
          <w:szCs w:val="22"/>
        </w:rPr>
        <w:t xml:space="preserve"> budowlanych</w:t>
      </w:r>
      <w:r w:rsidR="00B9210C" w:rsidRPr="00347C68">
        <w:rPr>
          <w:sz w:val="22"/>
          <w:szCs w:val="22"/>
        </w:rPr>
        <w:t xml:space="preserve">, </w:t>
      </w:r>
      <w:r w:rsidR="008D2CA7">
        <w:rPr>
          <w:sz w:val="22"/>
          <w:szCs w:val="22"/>
        </w:rPr>
        <w:t>dzi</w:t>
      </w:r>
      <w:r w:rsidR="008D2CA7">
        <w:rPr>
          <w:sz w:val="22"/>
          <w:szCs w:val="22"/>
        </w:rPr>
        <w:t>a</w:t>
      </w:r>
      <w:r w:rsidR="008D2CA7">
        <w:rPr>
          <w:sz w:val="22"/>
          <w:szCs w:val="22"/>
        </w:rPr>
        <w:t xml:space="preserve">łek rolnych, </w:t>
      </w:r>
      <w:r w:rsidR="00B9210C" w:rsidRPr="00347C68">
        <w:rPr>
          <w:sz w:val="22"/>
          <w:szCs w:val="22"/>
        </w:rPr>
        <w:t>lokali mieszkalnych i użytko</w:t>
      </w:r>
      <w:r w:rsidR="009C227E">
        <w:rPr>
          <w:sz w:val="22"/>
          <w:szCs w:val="22"/>
        </w:rPr>
        <w:t>wych, oszacowano na podstawie przewidywanego w</w:t>
      </w:r>
      <w:r w:rsidR="009C227E">
        <w:rPr>
          <w:sz w:val="22"/>
          <w:szCs w:val="22"/>
        </w:rPr>
        <w:t>y</w:t>
      </w:r>
      <w:r w:rsidR="009C227E">
        <w:rPr>
          <w:sz w:val="22"/>
          <w:szCs w:val="22"/>
        </w:rPr>
        <w:t xml:space="preserve">konania. </w:t>
      </w:r>
      <w:r w:rsidR="00AB4AB2" w:rsidRPr="009C227E">
        <w:rPr>
          <w:sz w:val="22"/>
          <w:szCs w:val="22"/>
        </w:rPr>
        <w:t>Prognoza nie zakłada wpływów ze sprzedaży majątku od 2016 roku.</w:t>
      </w:r>
    </w:p>
    <w:p w:rsidR="00721238" w:rsidRPr="00721238" w:rsidRDefault="00F216FA" w:rsidP="00721238">
      <w:pPr>
        <w:pStyle w:val="Akapitzlist"/>
        <w:numPr>
          <w:ilvl w:val="0"/>
          <w:numId w:val="31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Dotacje i środki finansowe przeznaczone na inwestycje - </w:t>
      </w:r>
      <w:r w:rsidRPr="00F216FA">
        <w:rPr>
          <w:sz w:val="22"/>
          <w:szCs w:val="22"/>
        </w:rPr>
        <w:t>p</w:t>
      </w:r>
      <w:r w:rsidR="008704AE">
        <w:rPr>
          <w:sz w:val="22"/>
          <w:szCs w:val="22"/>
        </w:rPr>
        <w:t>ozycja ta zawiera dotację celową</w:t>
      </w:r>
      <w:r w:rsidRPr="00F216FA">
        <w:rPr>
          <w:sz w:val="22"/>
          <w:szCs w:val="22"/>
        </w:rPr>
        <w:t xml:space="preserve"> </w:t>
      </w:r>
      <w:r w:rsidR="008704AE">
        <w:rPr>
          <w:sz w:val="22"/>
          <w:szCs w:val="22"/>
        </w:rPr>
        <w:br/>
      </w:r>
      <w:r w:rsidRPr="00F216FA">
        <w:rPr>
          <w:sz w:val="22"/>
          <w:szCs w:val="22"/>
        </w:rPr>
        <w:t>w ramach programów finansowanych z udziałem środków, o których mowa w art. 5 ust. 1 pk</w:t>
      </w:r>
      <w:r w:rsidR="00721238">
        <w:rPr>
          <w:sz w:val="22"/>
          <w:szCs w:val="22"/>
        </w:rPr>
        <w:t>t.3</w:t>
      </w:r>
      <w:r w:rsidRPr="00F216FA">
        <w:rPr>
          <w:sz w:val="22"/>
          <w:szCs w:val="22"/>
        </w:rPr>
        <w:t xml:space="preserve"> </w:t>
      </w:r>
      <w:r w:rsidR="008E0CC2">
        <w:rPr>
          <w:sz w:val="22"/>
          <w:szCs w:val="22"/>
        </w:rPr>
        <w:br/>
      </w:r>
      <w:r w:rsidR="00721238">
        <w:rPr>
          <w:sz w:val="22"/>
          <w:szCs w:val="22"/>
        </w:rPr>
        <w:t>oraz ust. 3 pkt 5 i 6 ustawy lub płatności w ramach budżetu środków europejskich</w:t>
      </w:r>
      <w:r w:rsidR="008704AE">
        <w:rPr>
          <w:sz w:val="22"/>
          <w:szCs w:val="22"/>
        </w:rPr>
        <w:t xml:space="preserve"> </w:t>
      </w:r>
      <w:r w:rsidRPr="00F216FA">
        <w:rPr>
          <w:sz w:val="22"/>
          <w:szCs w:val="22"/>
        </w:rPr>
        <w:t>na dofina</w:t>
      </w:r>
      <w:r w:rsidRPr="00F216FA">
        <w:rPr>
          <w:sz w:val="22"/>
          <w:szCs w:val="22"/>
        </w:rPr>
        <w:t>n</w:t>
      </w:r>
      <w:r w:rsidRPr="00F216FA">
        <w:rPr>
          <w:sz w:val="22"/>
          <w:szCs w:val="22"/>
        </w:rPr>
        <w:t>sowa</w:t>
      </w:r>
      <w:r w:rsidR="008704AE">
        <w:rPr>
          <w:sz w:val="22"/>
          <w:szCs w:val="22"/>
        </w:rPr>
        <w:t xml:space="preserve">nie </w:t>
      </w:r>
      <w:r w:rsidRPr="00F216FA">
        <w:rPr>
          <w:sz w:val="22"/>
          <w:szCs w:val="22"/>
        </w:rPr>
        <w:t>projek</w:t>
      </w:r>
      <w:r w:rsidR="008704AE">
        <w:rPr>
          <w:sz w:val="22"/>
          <w:szCs w:val="22"/>
        </w:rPr>
        <w:t>tu</w:t>
      </w:r>
      <w:r w:rsidRPr="00F216FA">
        <w:rPr>
          <w:sz w:val="22"/>
          <w:szCs w:val="22"/>
        </w:rPr>
        <w:t>:</w:t>
      </w:r>
      <w:r w:rsidR="00721238">
        <w:rPr>
          <w:sz w:val="22"/>
          <w:szCs w:val="22"/>
        </w:rPr>
        <w:t xml:space="preserve"> </w:t>
      </w:r>
      <w:r w:rsidR="00721238" w:rsidRPr="00721238">
        <w:rPr>
          <w:sz w:val="22"/>
          <w:szCs w:val="22"/>
        </w:rPr>
        <w:t>„Internet szansą rozwoju Gminy Piława Górna</w:t>
      </w:r>
      <w:r w:rsidR="008704AE" w:rsidRPr="00721238">
        <w:rPr>
          <w:sz w:val="22"/>
          <w:szCs w:val="22"/>
        </w:rPr>
        <w:t>”</w:t>
      </w:r>
      <w:r w:rsidR="00347C68" w:rsidRPr="00721238">
        <w:rPr>
          <w:sz w:val="22"/>
          <w:szCs w:val="22"/>
        </w:rPr>
        <w:t>.</w:t>
      </w:r>
      <w:r w:rsidR="001F1972" w:rsidRPr="00721238">
        <w:rPr>
          <w:sz w:val="22"/>
          <w:szCs w:val="22"/>
        </w:rPr>
        <w:t xml:space="preserve"> </w:t>
      </w:r>
      <w:r w:rsidR="00721238" w:rsidRPr="00721238">
        <w:rPr>
          <w:sz w:val="22"/>
          <w:szCs w:val="22"/>
        </w:rPr>
        <w:t xml:space="preserve">Priorytet VIII: </w:t>
      </w:r>
      <w:r w:rsidR="00721238" w:rsidRPr="00721238">
        <w:rPr>
          <w:bCs/>
          <w:sz w:val="22"/>
          <w:szCs w:val="22"/>
        </w:rPr>
        <w:t>Społecze</w:t>
      </w:r>
      <w:r w:rsidR="00721238" w:rsidRPr="00721238">
        <w:rPr>
          <w:bCs/>
          <w:sz w:val="22"/>
          <w:szCs w:val="22"/>
        </w:rPr>
        <w:t>ń</w:t>
      </w:r>
      <w:r w:rsidR="00721238" w:rsidRPr="00721238">
        <w:rPr>
          <w:bCs/>
          <w:sz w:val="22"/>
          <w:szCs w:val="22"/>
        </w:rPr>
        <w:t>stwo informacyjne – zwiększanie innowacyjności gospodarki</w:t>
      </w:r>
      <w:r w:rsidR="00721238" w:rsidRPr="00721238">
        <w:rPr>
          <w:bCs/>
          <w:i/>
          <w:sz w:val="22"/>
          <w:szCs w:val="22"/>
        </w:rPr>
        <w:t xml:space="preserve">, </w:t>
      </w:r>
      <w:r w:rsidR="00721238" w:rsidRPr="00721238">
        <w:rPr>
          <w:bCs/>
          <w:sz w:val="22"/>
          <w:szCs w:val="22"/>
        </w:rPr>
        <w:t>Działanie 8.3 Przeciwdziałanie wykluczeniu cyfrowemu – eInclusion,</w:t>
      </w:r>
      <w:r w:rsidR="00721238" w:rsidRPr="00721238">
        <w:rPr>
          <w:i/>
          <w:sz w:val="22"/>
          <w:szCs w:val="22"/>
        </w:rPr>
        <w:t xml:space="preserve">  </w:t>
      </w:r>
      <w:r w:rsidR="00721238" w:rsidRPr="00721238">
        <w:rPr>
          <w:bCs/>
          <w:sz w:val="22"/>
          <w:szCs w:val="22"/>
        </w:rPr>
        <w:t>Program Operacyjny Innowacyjna Gospodarka.</w:t>
      </w:r>
    </w:p>
    <w:p w:rsidR="00721238" w:rsidRPr="00721238" w:rsidRDefault="00721238" w:rsidP="00721238">
      <w:pPr>
        <w:pStyle w:val="Akapitzlist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Planowany p</w:t>
      </w:r>
      <w:r w:rsidRPr="00721238">
        <w:rPr>
          <w:sz w:val="22"/>
          <w:szCs w:val="22"/>
        </w:rPr>
        <w:t>oczątek realizacji zadania 01.03.2013 r.  planowany termin zakończenia zadania 30.11.2015</w:t>
      </w:r>
      <w:r>
        <w:rPr>
          <w:sz w:val="22"/>
          <w:szCs w:val="22"/>
        </w:rPr>
        <w:t xml:space="preserve"> r.</w:t>
      </w:r>
    </w:p>
    <w:p w:rsidR="00721238" w:rsidRPr="00721238" w:rsidRDefault="00721238" w:rsidP="00721238">
      <w:pPr>
        <w:pStyle w:val="Akapitzlist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ma </w:t>
      </w:r>
      <w:r w:rsidRPr="00721238">
        <w:rPr>
          <w:sz w:val="22"/>
          <w:szCs w:val="22"/>
        </w:rPr>
        <w:t>na celu zapewnienie dostępu do Internetu dla osób zagrożonych wykluczeniem c</w:t>
      </w:r>
      <w:r w:rsidRPr="00721238">
        <w:rPr>
          <w:sz w:val="22"/>
          <w:szCs w:val="22"/>
        </w:rPr>
        <w:t>y</w:t>
      </w:r>
      <w:r w:rsidRPr="00721238">
        <w:rPr>
          <w:sz w:val="22"/>
          <w:szCs w:val="22"/>
        </w:rPr>
        <w:t>frowym z powodu trudnej sytuacji materialnej lub niepełnosprawności. Działanie polega na sf</w:t>
      </w:r>
      <w:r w:rsidRPr="00721238">
        <w:rPr>
          <w:sz w:val="22"/>
          <w:szCs w:val="22"/>
        </w:rPr>
        <w:t>i</w:t>
      </w:r>
      <w:r w:rsidRPr="00721238">
        <w:rPr>
          <w:sz w:val="22"/>
          <w:szCs w:val="22"/>
        </w:rPr>
        <w:lastRenderedPageBreak/>
        <w:t>nansowaniu zakupu komputerów wraz zapewnieniem dostępu do Internetu dla osób objętych systemem wsparcia społecznego lub niepełnosprawnych, zagrożonych wykluczeniem cyfrowym</w:t>
      </w:r>
    </w:p>
    <w:p w:rsidR="00DD5F5B" w:rsidRPr="000F7711" w:rsidRDefault="00DD5F5B" w:rsidP="00721238">
      <w:pPr>
        <w:pStyle w:val="Akapitzlist"/>
        <w:ind w:left="567" w:firstLine="0"/>
        <w:jc w:val="both"/>
        <w:rPr>
          <w:sz w:val="22"/>
          <w:szCs w:val="22"/>
        </w:rPr>
      </w:pPr>
    </w:p>
    <w:p w:rsidR="00C07451" w:rsidRPr="002D2D04" w:rsidRDefault="00412476" w:rsidP="00DD5F5B">
      <w:pPr>
        <w:pStyle w:val="Akapitzlist"/>
        <w:keepNext/>
        <w:numPr>
          <w:ilvl w:val="0"/>
          <w:numId w:val="1"/>
        </w:numPr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Wydatki </w:t>
      </w:r>
    </w:p>
    <w:p w:rsidR="00DE0F1E" w:rsidRPr="00DE0F1E" w:rsidRDefault="00DE0F1E" w:rsidP="00DD5F5B">
      <w:p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DE0F1E">
        <w:rPr>
          <w:sz w:val="22"/>
          <w:szCs w:val="22"/>
        </w:rPr>
        <w:t>Prognozę wydatków oparto na założeniu art.</w:t>
      </w:r>
      <w:r w:rsidR="00575FE3">
        <w:rPr>
          <w:sz w:val="22"/>
          <w:szCs w:val="22"/>
        </w:rPr>
        <w:t xml:space="preserve"> </w:t>
      </w:r>
      <w:r w:rsidRPr="00DE0F1E">
        <w:rPr>
          <w:sz w:val="22"/>
          <w:szCs w:val="22"/>
        </w:rPr>
        <w:t>242 ust.1 ustawy o finansach publicznych, w świetle którego nie można uchwalić budżetu w którym planowane wydatki bieżące są wyższe niż plan</w:t>
      </w:r>
      <w:r w:rsidRPr="00DE0F1E">
        <w:rPr>
          <w:sz w:val="22"/>
          <w:szCs w:val="22"/>
        </w:rPr>
        <w:t>o</w:t>
      </w:r>
      <w:r w:rsidRPr="00DE0F1E">
        <w:rPr>
          <w:sz w:val="22"/>
          <w:szCs w:val="22"/>
        </w:rPr>
        <w:t>wane dochody bieżące ewentualnie powiększone o nadwyżkę budżetową z lat ubiegłych i wolne środki. W z</w:t>
      </w:r>
      <w:r w:rsidR="009C227E">
        <w:rPr>
          <w:sz w:val="22"/>
          <w:szCs w:val="22"/>
        </w:rPr>
        <w:t>wiązku z powyższym w latach 2015-2023</w:t>
      </w:r>
      <w:r w:rsidRPr="00DE0F1E">
        <w:rPr>
          <w:sz w:val="22"/>
          <w:szCs w:val="22"/>
        </w:rPr>
        <w:t xml:space="preserve"> założono ograniczanie fakultatywnych w</w:t>
      </w:r>
      <w:r w:rsidRPr="00DE0F1E">
        <w:rPr>
          <w:sz w:val="22"/>
          <w:szCs w:val="22"/>
        </w:rPr>
        <w:t>y</w:t>
      </w:r>
      <w:r w:rsidRPr="00DE0F1E">
        <w:rPr>
          <w:sz w:val="22"/>
          <w:szCs w:val="22"/>
        </w:rPr>
        <w:t>datków bieżących w celu wypracowania jak największej nadwyżki operacyjnej</w:t>
      </w:r>
      <w:r w:rsidR="000F7711">
        <w:rPr>
          <w:sz w:val="22"/>
          <w:szCs w:val="22"/>
        </w:rPr>
        <w:t>.</w:t>
      </w:r>
    </w:p>
    <w:p w:rsidR="000F7711" w:rsidRDefault="00412476" w:rsidP="00DD5F5B">
      <w:pPr>
        <w:pStyle w:val="Akapitzlist"/>
        <w:ind w:left="284" w:firstLine="0"/>
        <w:contextualSpacing w:val="0"/>
        <w:jc w:val="both"/>
        <w:rPr>
          <w:sz w:val="22"/>
          <w:szCs w:val="22"/>
        </w:rPr>
      </w:pPr>
      <w:r w:rsidRPr="00DE0F1E">
        <w:rPr>
          <w:sz w:val="22"/>
          <w:szCs w:val="22"/>
        </w:rPr>
        <w:t>Wykazane w poz. 2 w</w:t>
      </w:r>
      <w:r w:rsidR="00D36721" w:rsidRPr="00DE0F1E">
        <w:rPr>
          <w:sz w:val="22"/>
          <w:szCs w:val="22"/>
        </w:rPr>
        <w:t xml:space="preserve">ydatki bieżące </w:t>
      </w:r>
      <w:r w:rsidRPr="00DE0F1E">
        <w:rPr>
          <w:sz w:val="22"/>
          <w:szCs w:val="22"/>
        </w:rPr>
        <w:t>(bez odsetek i prowizji od: kredytów, pożyczek oraz wyem</w:t>
      </w:r>
      <w:r w:rsidRPr="00DE0F1E">
        <w:rPr>
          <w:sz w:val="22"/>
          <w:szCs w:val="22"/>
        </w:rPr>
        <w:t>i</w:t>
      </w:r>
      <w:r w:rsidRPr="00DE0F1E">
        <w:rPr>
          <w:sz w:val="22"/>
          <w:szCs w:val="22"/>
        </w:rPr>
        <w:t xml:space="preserve">towanych papierów wartościowych) roku </w:t>
      </w:r>
      <w:r w:rsidR="009C227E">
        <w:rPr>
          <w:sz w:val="22"/>
          <w:szCs w:val="22"/>
        </w:rPr>
        <w:t>2015</w:t>
      </w:r>
      <w:r w:rsidR="00D36721" w:rsidRPr="00DE0F1E">
        <w:rPr>
          <w:sz w:val="22"/>
          <w:szCs w:val="22"/>
        </w:rPr>
        <w:t xml:space="preserve"> oszacowano na podstawie przewidywanego wyk</w:t>
      </w:r>
      <w:r w:rsidR="00D36721" w:rsidRPr="00DE0F1E">
        <w:rPr>
          <w:sz w:val="22"/>
          <w:szCs w:val="22"/>
        </w:rPr>
        <w:t>o</w:t>
      </w:r>
      <w:r w:rsidR="009C227E">
        <w:rPr>
          <w:sz w:val="22"/>
          <w:szCs w:val="22"/>
        </w:rPr>
        <w:t>nania w 2014</w:t>
      </w:r>
      <w:r w:rsidR="00427AB2">
        <w:rPr>
          <w:sz w:val="22"/>
          <w:szCs w:val="22"/>
        </w:rPr>
        <w:t xml:space="preserve"> roku. </w:t>
      </w:r>
      <w:r w:rsidR="009C227E">
        <w:rPr>
          <w:sz w:val="22"/>
          <w:szCs w:val="22"/>
        </w:rPr>
        <w:t>Wysokość wydatków roku 2015</w:t>
      </w:r>
      <w:r w:rsidR="00636DE5" w:rsidRPr="00DE0F1E">
        <w:rPr>
          <w:sz w:val="22"/>
          <w:szCs w:val="22"/>
        </w:rPr>
        <w:t xml:space="preserve"> ustalono </w:t>
      </w:r>
      <w:r w:rsidR="008D4654">
        <w:rPr>
          <w:sz w:val="22"/>
          <w:szCs w:val="22"/>
        </w:rPr>
        <w:t>na podstawie wielkości roku 201</w:t>
      </w:r>
      <w:r w:rsidR="009C227E">
        <w:rPr>
          <w:sz w:val="22"/>
          <w:szCs w:val="22"/>
        </w:rPr>
        <w:t>4</w:t>
      </w:r>
      <w:r w:rsidR="00636DE5" w:rsidRPr="00DE0F1E">
        <w:rPr>
          <w:sz w:val="22"/>
          <w:szCs w:val="22"/>
        </w:rPr>
        <w:t xml:space="preserve"> pomniej</w:t>
      </w:r>
      <w:r w:rsidR="008D4654">
        <w:rPr>
          <w:sz w:val="22"/>
          <w:szCs w:val="22"/>
        </w:rPr>
        <w:t>szonej o jednorazowe wydat</w:t>
      </w:r>
      <w:r w:rsidR="00636DE5" w:rsidRPr="00DE0F1E">
        <w:rPr>
          <w:sz w:val="22"/>
          <w:szCs w:val="22"/>
        </w:rPr>
        <w:t>k</w:t>
      </w:r>
      <w:r w:rsidR="008D4654">
        <w:rPr>
          <w:sz w:val="22"/>
          <w:szCs w:val="22"/>
        </w:rPr>
        <w:t>i bieżące</w:t>
      </w:r>
      <w:r w:rsidR="00636DE5" w:rsidRPr="00DE0F1E">
        <w:rPr>
          <w:sz w:val="22"/>
          <w:szCs w:val="22"/>
        </w:rPr>
        <w:t xml:space="preserve">. </w:t>
      </w:r>
    </w:p>
    <w:p w:rsidR="005D536B" w:rsidRPr="00123070" w:rsidRDefault="00DE0F1E" w:rsidP="00DD5F5B">
      <w:pPr>
        <w:pStyle w:val="Akapitzlist"/>
        <w:ind w:left="284" w:firstLine="0"/>
        <w:contextualSpacing w:val="0"/>
        <w:jc w:val="both"/>
        <w:rPr>
          <w:color w:val="FF0000"/>
          <w:sz w:val="22"/>
          <w:szCs w:val="22"/>
        </w:rPr>
      </w:pPr>
      <w:r w:rsidRPr="00DE0F1E">
        <w:rPr>
          <w:sz w:val="22"/>
          <w:szCs w:val="22"/>
        </w:rPr>
        <w:t>Prognoza wydatków w kolejnych latach oparta została na planie wydatków bieżących na</w:t>
      </w:r>
      <w:r w:rsidR="000F7711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2015</w:t>
      </w:r>
      <w:r w:rsidRPr="00DE0F1E">
        <w:rPr>
          <w:sz w:val="22"/>
          <w:szCs w:val="22"/>
        </w:rPr>
        <w:t xml:space="preserve"> rok, </w:t>
      </w:r>
      <w:r w:rsidR="00D36721" w:rsidRPr="00DE0F1E">
        <w:rPr>
          <w:sz w:val="22"/>
          <w:szCs w:val="22"/>
        </w:rPr>
        <w:t xml:space="preserve">powiększona o wskaźnik  dynamiki cen towarów i usług </w:t>
      </w:r>
      <w:r w:rsidR="00123070">
        <w:rPr>
          <w:sz w:val="22"/>
          <w:szCs w:val="22"/>
        </w:rPr>
        <w:t xml:space="preserve">wynoszący </w:t>
      </w:r>
      <w:r w:rsidR="00D60EA5">
        <w:rPr>
          <w:sz w:val="22"/>
          <w:szCs w:val="22"/>
        </w:rPr>
        <w:t xml:space="preserve">ok. </w:t>
      </w:r>
      <w:r w:rsidR="00123070" w:rsidRPr="00E52223">
        <w:rPr>
          <w:sz w:val="22"/>
          <w:szCs w:val="22"/>
        </w:rPr>
        <w:t>102,</w:t>
      </w:r>
      <w:r w:rsidR="0096474F">
        <w:rPr>
          <w:sz w:val="22"/>
          <w:szCs w:val="22"/>
        </w:rPr>
        <w:t>5</w:t>
      </w:r>
      <w:r w:rsidR="00E52223">
        <w:rPr>
          <w:sz w:val="22"/>
          <w:szCs w:val="22"/>
        </w:rPr>
        <w:t>%</w:t>
      </w:r>
      <w:r w:rsidR="005D536B" w:rsidRPr="00E52223">
        <w:rPr>
          <w:sz w:val="22"/>
          <w:szCs w:val="22"/>
        </w:rPr>
        <w:t>.</w:t>
      </w:r>
    </w:p>
    <w:p w:rsidR="00C10903" w:rsidRPr="008E12C7" w:rsidRDefault="00CC612E" w:rsidP="00460D54">
      <w:pPr>
        <w:autoSpaceDE w:val="0"/>
        <w:autoSpaceDN w:val="0"/>
        <w:adjustRightInd w:val="0"/>
        <w:ind w:left="284" w:firstLine="0"/>
        <w:jc w:val="both"/>
        <w:rPr>
          <w:sz w:val="22"/>
          <w:szCs w:val="22"/>
        </w:rPr>
      </w:pPr>
      <w:r w:rsidRPr="00DE0F1E">
        <w:rPr>
          <w:sz w:val="22"/>
          <w:szCs w:val="22"/>
        </w:rPr>
        <w:t>Ponadto zgodnie z art.226 ust.2 pkt.2 ustawy o f</w:t>
      </w:r>
      <w:r w:rsidR="008E12C7" w:rsidRPr="00DE0F1E">
        <w:rPr>
          <w:sz w:val="22"/>
          <w:szCs w:val="22"/>
        </w:rPr>
        <w:t xml:space="preserve">inansach publicznych w wydatkach </w:t>
      </w:r>
      <w:r w:rsidRPr="00DE0F1E">
        <w:rPr>
          <w:sz w:val="22"/>
          <w:szCs w:val="22"/>
        </w:rPr>
        <w:t>bieżących</w:t>
      </w:r>
      <w:r w:rsidRPr="008E12C7">
        <w:rPr>
          <w:sz w:val="22"/>
          <w:szCs w:val="22"/>
        </w:rPr>
        <w:t xml:space="preserve"> w</w:t>
      </w:r>
      <w:r w:rsidRPr="008E12C7">
        <w:rPr>
          <w:sz w:val="22"/>
          <w:szCs w:val="22"/>
        </w:rPr>
        <w:t>y</w:t>
      </w:r>
      <w:r w:rsidRPr="008E12C7">
        <w:rPr>
          <w:sz w:val="22"/>
          <w:szCs w:val="22"/>
        </w:rPr>
        <w:t>odrębniono:</w:t>
      </w:r>
    </w:p>
    <w:p w:rsidR="0039214C" w:rsidRPr="00776CC9" w:rsidRDefault="008146C5" w:rsidP="00460D54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76CC9">
        <w:rPr>
          <w:sz w:val="22"/>
          <w:szCs w:val="22"/>
        </w:rPr>
        <w:t>wynagrodzenia i składki od nich naliczane</w:t>
      </w:r>
      <w:r w:rsidR="00366831" w:rsidRPr="00776CC9">
        <w:rPr>
          <w:sz w:val="22"/>
          <w:szCs w:val="22"/>
        </w:rPr>
        <w:t xml:space="preserve"> </w:t>
      </w:r>
      <w:r w:rsidR="0039214C" w:rsidRPr="00776CC9">
        <w:rPr>
          <w:sz w:val="22"/>
          <w:szCs w:val="22"/>
        </w:rPr>
        <w:t>p</w:t>
      </w:r>
      <w:r w:rsidRPr="00776CC9">
        <w:rPr>
          <w:sz w:val="22"/>
          <w:szCs w:val="22"/>
        </w:rPr>
        <w:t>rzyjęto stały wz</w:t>
      </w:r>
      <w:r w:rsidR="00E6724B" w:rsidRPr="00776CC9">
        <w:rPr>
          <w:sz w:val="22"/>
          <w:szCs w:val="22"/>
        </w:rPr>
        <w:t xml:space="preserve">rost wydatków w tej grupie </w:t>
      </w:r>
      <w:r w:rsidR="00366831" w:rsidRPr="00776CC9">
        <w:rPr>
          <w:sz w:val="22"/>
          <w:szCs w:val="22"/>
        </w:rPr>
        <w:br/>
      </w:r>
      <w:r w:rsidR="00E6724B" w:rsidRPr="00776CC9">
        <w:rPr>
          <w:sz w:val="22"/>
          <w:szCs w:val="22"/>
        </w:rPr>
        <w:t xml:space="preserve">o </w:t>
      </w:r>
      <w:r w:rsidR="00D60EA5">
        <w:rPr>
          <w:sz w:val="22"/>
          <w:szCs w:val="22"/>
        </w:rPr>
        <w:t xml:space="preserve">ok. </w:t>
      </w:r>
      <w:r w:rsidR="00E6724B" w:rsidRPr="00776CC9">
        <w:rPr>
          <w:sz w:val="22"/>
          <w:szCs w:val="22"/>
        </w:rPr>
        <w:t>2,5</w:t>
      </w:r>
      <w:r w:rsidRPr="00776CC9">
        <w:rPr>
          <w:sz w:val="22"/>
          <w:szCs w:val="22"/>
        </w:rPr>
        <w:t xml:space="preserve">% w stosunku do roku </w:t>
      </w:r>
      <w:r w:rsidR="00412476" w:rsidRPr="00776CC9">
        <w:rPr>
          <w:sz w:val="22"/>
          <w:szCs w:val="22"/>
        </w:rPr>
        <w:t>poprzedzającego</w:t>
      </w:r>
      <w:r w:rsidRPr="00776CC9">
        <w:rPr>
          <w:sz w:val="22"/>
          <w:szCs w:val="22"/>
        </w:rPr>
        <w:t xml:space="preserve"> dany rok budżeto</w:t>
      </w:r>
      <w:r w:rsidR="0039214C" w:rsidRPr="00776CC9">
        <w:rPr>
          <w:sz w:val="22"/>
          <w:szCs w:val="22"/>
        </w:rPr>
        <w:t>wy,</w:t>
      </w:r>
    </w:p>
    <w:p w:rsidR="008146C5" w:rsidRPr="00776CC9" w:rsidRDefault="008E12C7" w:rsidP="00460D5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776CC9">
        <w:rPr>
          <w:sz w:val="24"/>
          <w:szCs w:val="24"/>
        </w:rPr>
        <w:t xml:space="preserve">wydatki </w:t>
      </w:r>
      <w:r w:rsidR="008146C5" w:rsidRPr="00776CC9">
        <w:rPr>
          <w:sz w:val="22"/>
          <w:szCs w:val="22"/>
        </w:rPr>
        <w:t xml:space="preserve">związane z </w:t>
      </w:r>
      <w:r w:rsidR="0039214C" w:rsidRPr="00776CC9">
        <w:rPr>
          <w:sz w:val="22"/>
          <w:szCs w:val="22"/>
        </w:rPr>
        <w:t>funkcjonowaniem organów gminy; s</w:t>
      </w:r>
      <w:r w:rsidR="008146C5" w:rsidRPr="00776CC9">
        <w:rPr>
          <w:sz w:val="22"/>
          <w:szCs w:val="22"/>
        </w:rPr>
        <w:t>ą to wydatki planowa</w:t>
      </w:r>
      <w:r w:rsidR="0039214C" w:rsidRPr="00776CC9">
        <w:rPr>
          <w:sz w:val="22"/>
          <w:szCs w:val="22"/>
        </w:rPr>
        <w:t>ne w R</w:t>
      </w:r>
      <w:r w:rsidR="008146C5" w:rsidRPr="00776CC9">
        <w:rPr>
          <w:sz w:val="22"/>
          <w:szCs w:val="22"/>
        </w:rPr>
        <w:t>ozdziale 75022 - Rady gmin (miast i miast na prawach powiatu)</w:t>
      </w:r>
      <w:r w:rsidR="0039214C" w:rsidRPr="00776CC9">
        <w:rPr>
          <w:sz w:val="22"/>
          <w:szCs w:val="22"/>
        </w:rPr>
        <w:t xml:space="preserve"> oraz Rozdziale</w:t>
      </w:r>
      <w:r w:rsidR="00C965DE" w:rsidRPr="00776CC9">
        <w:rPr>
          <w:sz w:val="22"/>
          <w:szCs w:val="22"/>
        </w:rPr>
        <w:t xml:space="preserve"> 75023 </w:t>
      </w:r>
      <w:r w:rsidR="0039214C" w:rsidRPr="00776CC9">
        <w:rPr>
          <w:sz w:val="22"/>
          <w:szCs w:val="22"/>
        </w:rPr>
        <w:t>– Urzędy gmin</w:t>
      </w:r>
      <w:r w:rsidR="00C965DE" w:rsidRPr="00776CC9">
        <w:rPr>
          <w:sz w:val="22"/>
          <w:szCs w:val="22"/>
        </w:rPr>
        <w:t xml:space="preserve"> </w:t>
      </w:r>
      <w:r w:rsidR="0039214C" w:rsidRPr="00776CC9">
        <w:rPr>
          <w:sz w:val="22"/>
          <w:szCs w:val="22"/>
        </w:rPr>
        <w:t xml:space="preserve">(miast i miast na prawach powiatu) </w:t>
      </w:r>
      <w:r w:rsidR="00392522" w:rsidRPr="00776CC9">
        <w:rPr>
          <w:sz w:val="22"/>
          <w:szCs w:val="22"/>
        </w:rPr>
        <w:t>-</w:t>
      </w:r>
      <w:r w:rsidR="008146C5" w:rsidRPr="00776CC9">
        <w:rPr>
          <w:sz w:val="22"/>
          <w:szCs w:val="22"/>
        </w:rPr>
        <w:t xml:space="preserve"> wzro</w:t>
      </w:r>
      <w:r w:rsidR="00392522" w:rsidRPr="00776CC9">
        <w:rPr>
          <w:sz w:val="22"/>
          <w:szCs w:val="22"/>
        </w:rPr>
        <w:t>st</w:t>
      </w:r>
      <w:r w:rsidR="008146C5" w:rsidRPr="00776CC9">
        <w:rPr>
          <w:sz w:val="22"/>
          <w:szCs w:val="22"/>
        </w:rPr>
        <w:t xml:space="preserve"> w </w:t>
      </w:r>
      <w:r w:rsidR="00E6724B" w:rsidRPr="00776CC9">
        <w:rPr>
          <w:sz w:val="22"/>
          <w:szCs w:val="22"/>
        </w:rPr>
        <w:t>tej gru</w:t>
      </w:r>
      <w:r w:rsidR="0039214C" w:rsidRPr="00776CC9">
        <w:rPr>
          <w:sz w:val="22"/>
          <w:szCs w:val="22"/>
        </w:rPr>
        <w:t xml:space="preserve">pie wydatków wynosi </w:t>
      </w:r>
      <w:r w:rsidR="00D60EA5">
        <w:rPr>
          <w:sz w:val="22"/>
          <w:szCs w:val="22"/>
        </w:rPr>
        <w:t>ok.</w:t>
      </w:r>
      <w:r w:rsidR="0039214C" w:rsidRPr="00776CC9">
        <w:rPr>
          <w:sz w:val="22"/>
          <w:szCs w:val="22"/>
        </w:rPr>
        <w:t>102,5</w:t>
      </w:r>
      <w:r w:rsidR="003256CF">
        <w:rPr>
          <w:sz w:val="22"/>
          <w:szCs w:val="22"/>
        </w:rPr>
        <w:t>%,</w:t>
      </w:r>
    </w:p>
    <w:p w:rsidR="008146C5" w:rsidRPr="00776CC9" w:rsidRDefault="00F216FA" w:rsidP="00460D5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776CC9">
        <w:rPr>
          <w:sz w:val="22"/>
          <w:szCs w:val="22"/>
        </w:rPr>
        <w:t xml:space="preserve">wydatki bieżące i majątkowe </w:t>
      </w:r>
      <w:r w:rsidR="00392522" w:rsidRPr="00776CC9">
        <w:rPr>
          <w:sz w:val="22"/>
          <w:szCs w:val="22"/>
        </w:rPr>
        <w:t>objęte limitem art.226 ust. 4 ufp</w:t>
      </w:r>
      <w:r w:rsidR="00DD5F5B" w:rsidRPr="00776CC9">
        <w:rPr>
          <w:sz w:val="22"/>
          <w:szCs w:val="22"/>
        </w:rPr>
        <w:t>.</w:t>
      </w:r>
    </w:p>
    <w:p w:rsidR="00DD5F5B" w:rsidRPr="00DD5F5B" w:rsidRDefault="00DD5F5B" w:rsidP="00460D54">
      <w:pPr>
        <w:pStyle w:val="Akapitzlist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8057D" w:rsidRPr="00DD5F5B" w:rsidRDefault="00460D54" w:rsidP="00460D54">
      <w:pPr>
        <w:keepNext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 </w:t>
      </w:r>
      <w:r w:rsidR="00636DE5" w:rsidRPr="00DD5F5B">
        <w:rPr>
          <w:b/>
          <w:sz w:val="22"/>
          <w:szCs w:val="22"/>
        </w:rPr>
        <w:t>W</w:t>
      </w:r>
      <w:r w:rsidR="00981F7D" w:rsidRPr="00DD5F5B">
        <w:rPr>
          <w:b/>
          <w:sz w:val="22"/>
          <w:szCs w:val="22"/>
        </w:rPr>
        <w:t xml:space="preserve">ynik budżetu </w:t>
      </w:r>
    </w:p>
    <w:p w:rsidR="001B1F1D" w:rsidRDefault="008D4654" w:rsidP="009C227E">
      <w:p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9C227E">
        <w:rPr>
          <w:sz w:val="22"/>
          <w:szCs w:val="22"/>
        </w:rPr>
        <w:t>roku 2015 planuje się deficyt budżetu w wysokości 1 488 018 zł, a latach 2016</w:t>
      </w:r>
      <w:r w:rsidR="008A71B0">
        <w:rPr>
          <w:sz w:val="22"/>
          <w:szCs w:val="22"/>
        </w:rPr>
        <w:t xml:space="preserve"> </w:t>
      </w:r>
      <w:r w:rsidR="00981F7D" w:rsidRPr="00981F7D">
        <w:rPr>
          <w:sz w:val="22"/>
          <w:szCs w:val="22"/>
        </w:rPr>
        <w:t>-</w:t>
      </w:r>
      <w:r w:rsidR="008A71B0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2023</w:t>
      </w:r>
      <w:r w:rsidR="00981F7D" w:rsidRPr="00981F7D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zaplan</w:t>
      </w:r>
      <w:r w:rsidR="009C227E">
        <w:rPr>
          <w:sz w:val="22"/>
          <w:szCs w:val="22"/>
        </w:rPr>
        <w:t>o</w:t>
      </w:r>
      <w:r w:rsidR="009C227E">
        <w:rPr>
          <w:sz w:val="22"/>
          <w:szCs w:val="22"/>
        </w:rPr>
        <w:t xml:space="preserve">wano </w:t>
      </w:r>
      <w:r w:rsidR="00981F7D" w:rsidRPr="00981F7D">
        <w:rPr>
          <w:sz w:val="22"/>
          <w:szCs w:val="22"/>
        </w:rPr>
        <w:t>nadwyżkę budżetową</w:t>
      </w:r>
      <w:r w:rsidR="00981F7D">
        <w:rPr>
          <w:sz w:val="22"/>
          <w:szCs w:val="22"/>
        </w:rPr>
        <w:t>.</w:t>
      </w:r>
    </w:p>
    <w:p w:rsidR="0068057D" w:rsidRPr="001B1F1D" w:rsidRDefault="00981F7D" w:rsidP="00460D54">
      <w:pPr>
        <w:ind w:left="284" w:hanging="284"/>
        <w:rPr>
          <w:sz w:val="22"/>
          <w:szCs w:val="22"/>
        </w:rPr>
      </w:pPr>
      <w:r w:rsidRPr="001B1F1D">
        <w:rPr>
          <w:sz w:val="22"/>
          <w:szCs w:val="22"/>
        </w:rPr>
        <w:t xml:space="preserve"> </w:t>
      </w:r>
    </w:p>
    <w:p w:rsidR="0068057D" w:rsidRPr="00DD5F5B" w:rsidRDefault="00981F7D" w:rsidP="00460D54">
      <w:pPr>
        <w:pStyle w:val="Akapitzlist"/>
        <w:keepNext/>
        <w:numPr>
          <w:ilvl w:val="0"/>
          <w:numId w:val="32"/>
        </w:numPr>
        <w:ind w:left="284" w:hanging="284"/>
        <w:rPr>
          <w:b/>
          <w:sz w:val="22"/>
          <w:szCs w:val="22"/>
        </w:rPr>
      </w:pPr>
      <w:r w:rsidRPr="00DD5F5B">
        <w:rPr>
          <w:b/>
          <w:sz w:val="22"/>
          <w:szCs w:val="22"/>
        </w:rPr>
        <w:t>Przeznaczen</w:t>
      </w:r>
      <w:r w:rsidR="00EA5C91" w:rsidRPr="00DD5F5B">
        <w:rPr>
          <w:b/>
          <w:sz w:val="22"/>
          <w:szCs w:val="22"/>
        </w:rPr>
        <w:t>ie nadwyżki budżetu</w:t>
      </w:r>
      <w:r w:rsidR="009C227E">
        <w:rPr>
          <w:b/>
          <w:sz w:val="22"/>
          <w:szCs w:val="22"/>
        </w:rPr>
        <w:t xml:space="preserve"> lat 2016</w:t>
      </w:r>
      <w:r w:rsidR="008A71B0" w:rsidRPr="00DD5F5B">
        <w:rPr>
          <w:b/>
          <w:sz w:val="22"/>
          <w:szCs w:val="22"/>
        </w:rPr>
        <w:t xml:space="preserve"> </w:t>
      </w:r>
      <w:r w:rsidR="00EA5C91" w:rsidRPr="00DD5F5B">
        <w:rPr>
          <w:b/>
          <w:sz w:val="22"/>
          <w:szCs w:val="22"/>
        </w:rPr>
        <w:t>–</w:t>
      </w:r>
      <w:r w:rsidR="008A71B0" w:rsidRPr="00DD5F5B">
        <w:rPr>
          <w:b/>
          <w:sz w:val="22"/>
          <w:szCs w:val="22"/>
        </w:rPr>
        <w:t xml:space="preserve"> </w:t>
      </w:r>
      <w:r w:rsidR="009C227E">
        <w:rPr>
          <w:b/>
          <w:sz w:val="22"/>
          <w:szCs w:val="22"/>
        </w:rPr>
        <w:t>2023</w:t>
      </w:r>
    </w:p>
    <w:p w:rsidR="00C10903" w:rsidRDefault="00981F7D" w:rsidP="00460D54">
      <w:pPr>
        <w:keepNext/>
        <w:ind w:left="284" w:firstLine="0"/>
        <w:jc w:val="both"/>
        <w:rPr>
          <w:sz w:val="22"/>
          <w:szCs w:val="22"/>
        </w:rPr>
      </w:pPr>
      <w:r w:rsidRPr="001B1F1D">
        <w:rPr>
          <w:sz w:val="22"/>
          <w:szCs w:val="22"/>
        </w:rPr>
        <w:t xml:space="preserve">Nadwyżkę budżetową przeznacza się na spłatę </w:t>
      </w:r>
      <w:r w:rsidR="001B1F1D" w:rsidRPr="001B1F1D">
        <w:rPr>
          <w:sz w:val="22"/>
          <w:szCs w:val="22"/>
        </w:rPr>
        <w:t xml:space="preserve">wcześniej zaciągniętych kredytów, pożyczek oraz wykup obligacji </w:t>
      </w:r>
      <w:r w:rsidR="00A00953">
        <w:rPr>
          <w:sz w:val="22"/>
          <w:szCs w:val="22"/>
        </w:rPr>
        <w:t xml:space="preserve">komunalnych </w:t>
      </w:r>
      <w:r w:rsidR="001B1F1D" w:rsidRPr="001B1F1D">
        <w:rPr>
          <w:sz w:val="22"/>
          <w:szCs w:val="22"/>
        </w:rPr>
        <w:t xml:space="preserve">wyemitowanych przez gminę. </w:t>
      </w:r>
    </w:p>
    <w:p w:rsidR="00A51BD0" w:rsidRPr="00575FE3" w:rsidRDefault="00460D54" w:rsidP="00575FE3">
      <w:pPr>
        <w:ind w:firstLine="0"/>
        <w:jc w:val="both"/>
        <w:rPr>
          <w:sz w:val="22"/>
          <w:szCs w:val="22"/>
        </w:rPr>
      </w:pP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  <w:r w:rsidRPr="00575FE3">
        <w:rPr>
          <w:sz w:val="22"/>
          <w:szCs w:val="22"/>
        </w:rPr>
        <w:tab/>
      </w:r>
    </w:p>
    <w:p w:rsidR="00427AB2" w:rsidRPr="00427AB2" w:rsidRDefault="00316D44" w:rsidP="00427AB2">
      <w:pPr>
        <w:pStyle w:val="Akapitzlist"/>
        <w:keepNext/>
        <w:numPr>
          <w:ilvl w:val="0"/>
          <w:numId w:val="32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Wydatki na obsługę długu</w:t>
      </w:r>
    </w:p>
    <w:p w:rsidR="000A0EBF" w:rsidRPr="009C227E" w:rsidRDefault="00427AB2" w:rsidP="009C227E">
      <w:pPr>
        <w:keepNext/>
        <w:ind w:left="284" w:firstLine="0"/>
        <w:rPr>
          <w:sz w:val="22"/>
          <w:szCs w:val="22"/>
        </w:rPr>
      </w:pPr>
      <w:r w:rsidRPr="00427AB2">
        <w:rPr>
          <w:sz w:val="22"/>
          <w:szCs w:val="22"/>
        </w:rPr>
        <w:t>Spłata i obsługa długu w poszczególnych latach</w:t>
      </w:r>
    </w:p>
    <w:p w:rsidR="00CF70B3" w:rsidRDefault="00CF70B3" w:rsidP="00460D54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2015 roku – </w:t>
      </w:r>
      <w:r w:rsidR="009C227E">
        <w:rPr>
          <w:sz w:val="22"/>
          <w:szCs w:val="22"/>
        </w:rPr>
        <w:t>1 </w:t>
      </w:r>
      <w:r w:rsidR="00745B0D">
        <w:rPr>
          <w:sz w:val="22"/>
          <w:szCs w:val="22"/>
        </w:rPr>
        <w:t>3</w:t>
      </w:r>
      <w:r w:rsidR="009C227E">
        <w:rPr>
          <w:sz w:val="22"/>
          <w:szCs w:val="22"/>
        </w:rPr>
        <w:t>67 412</w:t>
      </w:r>
      <w:r w:rsidR="004860F5">
        <w:rPr>
          <w:sz w:val="22"/>
          <w:szCs w:val="22"/>
        </w:rPr>
        <w:t xml:space="preserve"> zł, z tego rozchody –</w:t>
      </w:r>
      <w:r w:rsidR="00541C76">
        <w:rPr>
          <w:sz w:val="22"/>
          <w:szCs w:val="22"/>
        </w:rPr>
        <w:t xml:space="preserve"> </w:t>
      </w:r>
      <w:r w:rsidR="0041253E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1 10</w:t>
      </w:r>
      <w:r>
        <w:rPr>
          <w:sz w:val="22"/>
          <w:szCs w:val="22"/>
        </w:rPr>
        <w:t>8 768 zł</w:t>
      </w:r>
    </w:p>
    <w:p w:rsidR="00CF70B3" w:rsidRDefault="00745B0D" w:rsidP="00460D54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2016 roku – 1 263 2</w:t>
      </w:r>
      <w:r w:rsidR="00575FE3">
        <w:rPr>
          <w:sz w:val="22"/>
          <w:szCs w:val="22"/>
        </w:rPr>
        <w:t xml:space="preserve">87 zł, z tego rozchody – </w:t>
      </w:r>
      <w:r w:rsidR="0041253E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1 01</w:t>
      </w:r>
      <w:r w:rsidR="00CF70B3">
        <w:rPr>
          <w:sz w:val="22"/>
          <w:szCs w:val="22"/>
        </w:rPr>
        <w:t>8 832 zł</w:t>
      </w:r>
    </w:p>
    <w:p w:rsidR="00CF70B3" w:rsidRDefault="00745B0D" w:rsidP="00460D54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2017 roku – 1 179 376</w:t>
      </w:r>
      <w:r w:rsidR="00575FE3">
        <w:rPr>
          <w:sz w:val="22"/>
          <w:szCs w:val="22"/>
        </w:rPr>
        <w:t xml:space="preserve"> zł,</w:t>
      </w:r>
      <w:r w:rsidR="00575FE3" w:rsidRPr="00575FE3">
        <w:rPr>
          <w:sz w:val="22"/>
          <w:szCs w:val="22"/>
        </w:rPr>
        <w:t xml:space="preserve"> </w:t>
      </w:r>
      <w:r w:rsidR="00575FE3">
        <w:rPr>
          <w:sz w:val="22"/>
          <w:szCs w:val="22"/>
        </w:rPr>
        <w:t xml:space="preserve">z tego rozchody – </w:t>
      </w:r>
      <w:r w:rsidR="004860F5">
        <w:rPr>
          <w:sz w:val="22"/>
          <w:szCs w:val="22"/>
        </w:rPr>
        <w:t xml:space="preserve">  </w:t>
      </w:r>
      <w:r w:rsidR="00541C76">
        <w:rPr>
          <w:sz w:val="22"/>
          <w:szCs w:val="22"/>
        </w:rPr>
        <w:t xml:space="preserve"> </w:t>
      </w:r>
      <w:r w:rsidR="0041253E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969 486</w:t>
      </w:r>
      <w:r w:rsidR="00CF70B3">
        <w:rPr>
          <w:sz w:val="22"/>
          <w:szCs w:val="22"/>
        </w:rPr>
        <w:t xml:space="preserve"> zł</w:t>
      </w:r>
    </w:p>
    <w:p w:rsidR="009C227E" w:rsidRDefault="00086542" w:rsidP="00CF70B3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2018 roku –</w:t>
      </w:r>
      <w:r w:rsidR="00745B0D">
        <w:rPr>
          <w:sz w:val="22"/>
          <w:szCs w:val="22"/>
        </w:rPr>
        <w:t xml:space="preserve">    730 355</w:t>
      </w:r>
      <w:r w:rsidR="00575FE3">
        <w:rPr>
          <w:sz w:val="22"/>
          <w:szCs w:val="22"/>
        </w:rPr>
        <w:t xml:space="preserve"> zł,</w:t>
      </w:r>
      <w:r w:rsidR="00575FE3" w:rsidRPr="00575FE3">
        <w:rPr>
          <w:sz w:val="22"/>
          <w:szCs w:val="22"/>
        </w:rPr>
        <w:t xml:space="preserve"> </w:t>
      </w:r>
      <w:r w:rsidR="00575FE3">
        <w:rPr>
          <w:sz w:val="22"/>
          <w:szCs w:val="22"/>
        </w:rPr>
        <w:t>z tego ro</w:t>
      </w:r>
      <w:r>
        <w:rPr>
          <w:sz w:val="22"/>
          <w:szCs w:val="22"/>
        </w:rPr>
        <w:t xml:space="preserve">zchody – </w:t>
      </w:r>
      <w:r w:rsidR="009C227E">
        <w:rPr>
          <w:sz w:val="22"/>
          <w:szCs w:val="22"/>
        </w:rPr>
        <w:t xml:space="preserve"> </w:t>
      </w:r>
      <w:r w:rsidR="00745B0D">
        <w:rPr>
          <w:sz w:val="22"/>
          <w:szCs w:val="22"/>
        </w:rPr>
        <w:t xml:space="preserve">  </w:t>
      </w:r>
      <w:r w:rsidR="0041253E">
        <w:rPr>
          <w:sz w:val="22"/>
          <w:szCs w:val="22"/>
        </w:rPr>
        <w:t xml:space="preserve"> </w:t>
      </w:r>
      <w:r w:rsidR="009C227E">
        <w:rPr>
          <w:sz w:val="22"/>
          <w:szCs w:val="22"/>
        </w:rPr>
        <w:t>551 200</w:t>
      </w:r>
      <w:r w:rsidR="00CF70B3">
        <w:rPr>
          <w:sz w:val="22"/>
          <w:szCs w:val="22"/>
        </w:rPr>
        <w:t xml:space="preserve"> zł</w:t>
      </w:r>
    </w:p>
    <w:p w:rsidR="00745B0D" w:rsidRPr="00745B0D" w:rsidRDefault="009C227E" w:rsidP="00745B0D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2019 roku</w:t>
      </w:r>
      <w:r w:rsidR="00745B0D">
        <w:rPr>
          <w:sz w:val="22"/>
          <w:szCs w:val="22"/>
        </w:rPr>
        <w:t xml:space="preserve"> –</w:t>
      </w:r>
      <w:r w:rsidR="00745B0D" w:rsidRPr="00745B0D">
        <w:rPr>
          <w:sz w:val="22"/>
          <w:szCs w:val="22"/>
        </w:rPr>
        <w:t xml:space="preserve"> </w:t>
      </w:r>
      <w:r w:rsidR="00745B0D">
        <w:rPr>
          <w:sz w:val="22"/>
          <w:szCs w:val="22"/>
        </w:rPr>
        <w:t xml:space="preserve">   580 000 zł,</w:t>
      </w:r>
      <w:r w:rsidR="00745B0D" w:rsidRPr="00575FE3">
        <w:rPr>
          <w:sz w:val="22"/>
          <w:szCs w:val="22"/>
        </w:rPr>
        <w:t xml:space="preserve"> </w:t>
      </w:r>
      <w:r w:rsidR="00745B0D">
        <w:rPr>
          <w:sz w:val="22"/>
          <w:szCs w:val="22"/>
        </w:rPr>
        <w:t xml:space="preserve">z tego rozchody –    </w:t>
      </w:r>
      <w:r w:rsidR="0041253E">
        <w:rPr>
          <w:sz w:val="22"/>
          <w:szCs w:val="22"/>
        </w:rPr>
        <w:t xml:space="preserve"> </w:t>
      </w:r>
      <w:r w:rsidR="00745B0D">
        <w:rPr>
          <w:sz w:val="22"/>
          <w:szCs w:val="22"/>
        </w:rPr>
        <w:t>500 000 zł</w:t>
      </w:r>
    </w:p>
    <w:p w:rsidR="00745B0D" w:rsidRDefault="00745B0D" w:rsidP="00745B0D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2020 roku –</w:t>
      </w:r>
      <w:r w:rsidRPr="00745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530 000 zł,</w:t>
      </w:r>
      <w:r w:rsidRPr="00575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tego rozchody –    </w:t>
      </w:r>
      <w:r w:rsidR="0041253E">
        <w:rPr>
          <w:sz w:val="22"/>
          <w:szCs w:val="22"/>
        </w:rPr>
        <w:t xml:space="preserve"> </w:t>
      </w:r>
      <w:r>
        <w:rPr>
          <w:sz w:val="22"/>
          <w:szCs w:val="22"/>
        </w:rPr>
        <w:t>500 000 zł</w:t>
      </w:r>
    </w:p>
    <w:p w:rsidR="00745B0D" w:rsidRDefault="00745B0D" w:rsidP="00745B0D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2021 roku –</w:t>
      </w:r>
      <w:r w:rsidRPr="00745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530 000 zł,</w:t>
      </w:r>
      <w:r w:rsidRPr="00575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tego rozchody –    </w:t>
      </w:r>
      <w:r w:rsidR="0041253E">
        <w:rPr>
          <w:sz w:val="22"/>
          <w:szCs w:val="22"/>
        </w:rPr>
        <w:t xml:space="preserve"> </w:t>
      </w:r>
      <w:r>
        <w:rPr>
          <w:sz w:val="22"/>
          <w:szCs w:val="22"/>
        </w:rPr>
        <w:t>500 000 zł</w:t>
      </w:r>
    </w:p>
    <w:p w:rsidR="00745B0D" w:rsidRDefault="00745B0D" w:rsidP="00745B0D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2022 roku –</w:t>
      </w:r>
      <w:r w:rsidRPr="00745B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530 000 zł,</w:t>
      </w:r>
      <w:r w:rsidRPr="00575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tego rozchody –   </w:t>
      </w:r>
      <w:r w:rsidR="0041253E">
        <w:rPr>
          <w:sz w:val="22"/>
          <w:szCs w:val="22"/>
        </w:rPr>
        <w:t xml:space="preserve">  </w:t>
      </w:r>
      <w:r>
        <w:rPr>
          <w:sz w:val="22"/>
          <w:szCs w:val="22"/>
        </w:rPr>
        <w:t>500 000 zł</w:t>
      </w:r>
    </w:p>
    <w:p w:rsidR="00745B0D" w:rsidRDefault="00745B0D" w:rsidP="00745B0D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w 2023 roku– 529 999,34 zł,</w:t>
      </w:r>
      <w:r w:rsidRPr="00575FE3">
        <w:rPr>
          <w:sz w:val="22"/>
          <w:szCs w:val="22"/>
        </w:rPr>
        <w:t xml:space="preserve"> </w:t>
      </w:r>
      <w:r>
        <w:rPr>
          <w:sz w:val="22"/>
          <w:szCs w:val="22"/>
        </w:rPr>
        <w:t>z tego rozchody–</w:t>
      </w:r>
      <w:r w:rsidR="0041253E">
        <w:rPr>
          <w:sz w:val="22"/>
          <w:szCs w:val="22"/>
        </w:rPr>
        <w:t xml:space="preserve"> </w:t>
      </w:r>
      <w:r>
        <w:rPr>
          <w:sz w:val="22"/>
          <w:szCs w:val="22"/>
        </w:rPr>
        <w:t>499 999,34 zł</w:t>
      </w:r>
    </w:p>
    <w:p w:rsidR="0096474F" w:rsidRPr="008F7797" w:rsidRDefault="0096474F" w:rsidP="008F7797">
      <w:pPr>
        <w:tabs>
          <w:tab w:val="left" w:pos="284"/>
        </w:tabs>
        <w:ind w:firstLine="0"/>
        <w:jc w:val="both"/>
        <w:rPr>
          <w:sz w:val="22"/>
          <w:szCs w:val="22"/>
        </w:rPr>
      </w:pPr>
    </w:p>
    <w:p w:rsidR="00575FE3" w:rsidRPr="00E5009A" w:rsidRDefault="004860F5" w:rsidP="00575FE3">
      <w:pPr>
        <w:pStyle w:val="Akapitzlist"/>
        <w:keepNext/>
        <w:numPr>
          <w:ilvl w:val="0"/>
          <w:numId w:val="32"/>
        </w:numPr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Przychody budżetu </w:t>
      </w:r>
    </w:p>
    <w:p w:rsidR="00776CC9" w:rsidRDefault="008F7797" w:rsidP="00776CC9">
      <w:pPr>
        <w:pStyle w:val="Akapitzlist"/>
        <w:ind w:left="284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Przychody w 2015</w:t>
      </w:r>
      <w:r w:rsidR="00575FE3">
        <w:rPr>
          <w:sz w:val="22"/>
          <w:szCs w:val="22"/>
        </w:rPr>
        <w:t xml:space="preserve"> roku za</w:t>
      </w:r>
      <w:r w:rsidR="00ED5087">
        <w:rPr>
          <w:sz w:val="22"/>
          <w:szCs w:val="22"/>
        </w:rPr>
        <w:t xml:space="preserve">planowano w </w:t>
      </w:r>
      <w:r>
        <w:rPr>
          <w:sz w:val="22"/>
          <w:szCs w:val="22"/>
        </w:rPr>
        <w:t>wysokości 2 596 786</w:t>
      </w:r>
      <w:r w:rsidR="00575FE3">
        <w:rPr>
          <w:sz w:val="22"/>
          <w:szCs w:val="22"/>
        </w:rPr>
        <w:t xml:space="preserve"> zł </w:t>
      </w:r>
      <w:r w:rsidR="004860F5">
        <w:rPr>
          <w:sz w:val="22"/>
          <w:szCs w:val="22"/>
        </w:rPr>
        <w:t xml:space="preserve">z przeznaczeniem </w:t>
      </w:r>
      <w:r w:rsidR="00575FE3" w:rsidRPr="000C7F53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finansowanie planowanego deficytu oraz </w:t>
      </w:r>
      <w:r w:rsidR="00575FE3" w:rsidRPr="000C7F53">
        <w:rPr>
          <w:sz w:val="22"/>
          <w:szCs w:val="22"/>
        </w:rPr>
        <w:t>spłatę wcześniej zacią</w:t>
      </w:r>
      <w:r w:rsidR="00575FE3">
        <w:rPr>
          <w:sz w:val="22"/>
          <w:szCs w:val="22"/>
        </w:rPr>
        <w:t xml:space="preserve">gniętych </w:t>
      </w:r>
      <w:r>
        <w:rPr>
          <w:sz w:val="22"/>
          <w:szCs w:val="22"/>
        </w:rPr>
        <w:t>pożyczek i kredytów, wykup obligacji.</w:t>
      </w:r>
    </w:p>
    <w:p w:rsidR="004860F5" w:rsidRDefault="004860F5" w:rsidP="00776CC9">
      <w:pPr>
        <w:pStyle w:val="Akapitzlist"/>
        <w:ind w:left="284" w:firstLine="0"/>
        <w:contextualSpacing w:val="0"/>
        <w:jc w:val="both"/>
        <w:rPr>
          <w:sz w:val="22"/>
          <w:szCs w:val="22"/>
        </w:rPr>
      </w:pPr>
    </w:p>
    <w:p w:rsidR="008F7797" w:rsidRDefault="008F7797" w:rsidP="00776CC9">
      <w:pPr>
        <w:pStyle w:val="Akapitzlist"/>
        <w:ind w:left="284" w:firstLine="0"/>
        <w:contextualSpacing w:val="0"/>
        <w:jc w:val="both"/>
        <w:rPr>
          <w:sz w:val="22"/>
          <w:szCs w:val="22"/>
        </w:rPr>
      </w:pPr>
    </w:p>
    <w:p w:rsidR="008D4654" w:rsidRPr="00776CC9" w:rsidRDefault="004860F5" w:rsidP="004860F5">
      <w:pPr>
        <w:pStyle w:val="Akapitzlist"/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8D4654">
        <w:rPr>
          <w:b/>
          <w:sz w:val="22"/>
          <w:szCs w:val="22"/>
        </w:rPr>
        <w:t>Kwota długu</w:t>
      </w:r>
    </w:p>
    <w:p w:rsidR="008D4654" w:rsidRPr="00082E42" w:rsidRDefault="008D4654" w:rsidP="00082E42">
      <w:pPr>
        <w:tabs>
          <w:tab w:val="left" w:pos="284"/>
        </w:tabs>
        <w:ind w:firstLine="0"/>
        <w:jc w:val="both"/>
        <w:rPr>
          <w:sz w:val="22"/>
          <w:szCs w:val="22"/>
        </w:rPr>
      </w:pPr>
      <w:r w:rsidRPr="008D4654">
        <w:rPr>
          <w:sz w:val="22"/>
          <w:szCs w:val="22"/>
        </w:rPr>
        <w:tab/>
      </w:r>
      <w:r>
        <w:rPr>
          <w:sz w:val="22"/>
          <w:szCs w:val="22"/>
        </w:rPr>
        <w:t>Zadłużenie planowane na koniec roku w poszczególnych latach gminy wynosi</w:t>
      </w:r>
      <w:r w:rsidR="00CF70B3">
        <w:rPr>
          <w:sz w:val="22"/>
          <w:szCs w:val="22"/>
        </w:rPr>
        <w:t>:</w:t>
      </w:r>
    </w:p>
    <w:p w:rsidR="00DD5F5B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2015 – 5 039 517,34</w:t>
      </w:r>
      <w:r w:rsidR="00DD5F5B">
        <w:rPr>
          <w:sz w:val="22"/>
          <w:szCs w:val="22"/>
        </w:rPr>
        <w:t xml:space="preserve"> zł</w:t>
      </w:r>
    </w:p>
    <w:p w:rsidR="00DD5F5B" w:rsidRDefault="00123070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82E42">
        <w:rPr>
          <w:sz w:val="22"/>
          <w:szCs w:val="22"/>
        </w:rPr>
        <w:t>16 – 4 020 685,34</w:t>
      </w:r>
      <w:r w:rsidR="00DD5F5B">
        <w:rPr>
          <w:sz w:val="22"/>
          <w:szCs w:val="22"/>
        </w:rPr>
        <w:t xml:space="preserve"> zł,</w:t>
      </w:r>
    </w:p>
    <w:p w:rsidR="00DD5F5B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2017 – 3 051 199,34</w:t>
      </w:r>
      <w:r w:rsidR="00DD5F5B" w:rsidRPr="00DD5F5B">
        <w:rPr>
          <w:sz w:val="22"/>
          <w:szCs w:val="22"/>
        </w:rPr>
        <w:t xml:space="preserve"> zł</w:t>
      </w:r>
      <w:r w:rsidR="00DD5F5B">
        <w:rPr>
          <w:sz w:val="22"/>
          <w:szCs w:val="22"/>
        </w:rPr>
        <w:t>,</w:t>
      </w:r>
    </w:p>
    <w:p w:rsidR="00082E42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2018 – 2499 999,34 zł</w:t>
      </w:r>
      <w:r w:rsidR="00BE1C35">
        <w:rPr>
          <w:sz w:val="22"/>
          <w:szCs w:val="22"/>
        </w:rPr>
        <w:t>,</w:t>
      </w:r>
    </w:p>
    <w:p w:rsidR="00082E42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2019 – 1 999 999,34 zł,</w:t>
      </w:r>
    </w:p>
    <w:p w:rsidR="00082E42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2020 – 1499 999,34 zł</w:t>
      </w:r>
    </w:p>
    <w:p w:rsidR="00082E42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2021 –</w:t>
      </w:r>
      <w:r w:rsidR="00BE1C3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999 999,34 zł</w:t>
      </w:r>
    </w:p>
    <w:p w:rsidR="00082E42" w:rsidRDefault="00082E42" w:rsidP="00DD5F5B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BE1C35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 499 999,34 zł,</w:t>
      </w:r>
    </w:p>
    <w:p w:rsidR="00DD5F5B" w:rsidRPr="00BE1C35" w:rsidRDefault="00082E42" w:rsidP="00BE1C35">
      <w:pPr>
        <w:pStyle w:val="Akapitzlist"/>
        <w:tabs>
          <w:tab w:val="left" w:pos="284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2023</w:t>
      </w:r>
      <w:r w:rsidR="00BE1C35">
        <w:rPr>
          <w:sz w:val="22"/>
          <w:szCs w:val="22"/>
        </w:rPr>
        <w:t xml:space="preserve"> –</w:t>
      </w:r>
      <w:r w:rsidR="00DD5F5B" w:rsidRPr="00BE1C35">
        <w:rPr>
          <w:sz w:val="22"/>
          <w:szCs w:val="22"/>
        </w:rPr>
        <w:t xml:space="preserve">          „0” zł</w:t>
      </w:r>
    </w:p>
    <w:p w:rsidR="00DD5F5B" w:rsidRPr="004A1E6A" w:rsidRDefault="00BE1C35" w:rsidP="001600D8">
      <w:pPr>
        <w:pStyle w:val="Akapitzlist"/>
        <w:tabs>
          <w:tab w:val="left" w:pos="2472"/>
        </w:tabs>
        <w:ind w:left="284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roku 2023</w:t>
      </w:r>
      <w:r w:rsidR="00DD5F5B" w:rsidRPr="0073287B">
        <w:rPr>
          <w:sz w:val="22"/>
          <w:szCs w:val="22"/>
        </w:rPr>
        <w:t xml:space="preserve"> nastąpi spłata zaciągniętych kredytów, pożyczek oraz wykup wyemitowanych przez gminę obligacji komunalnych.</w:t>
      </w:r>
    </w:p>
    <w:p w:rsidR="00941B9A" w:rsidRPr="00316D44" w:rsidRDefault="005F3D79" w:rsidP="00316D44">
      <w:pPr>
        <w:ind w:firstLine="0"/>
        <w:rPr>
          <w:sz w:val="22"/>
          <w:szCs w:val="22"/>
        </w:rPr>
      </w:pPr>
      <w:r w:rsidRPr="00316D44">
        <w:rPr>
          <w:sz w:val="22"/>
          <w:szCs w:val="22"/>
        </w:rPr>
        <w:t xml:space="preserve">    </w:t>
      </w:r>
    </w:p>
    <w:p w:rsidR="000B07E2" w:rsidRPr="00316D44" w:rsidRDefault="00316D44" w:rsidP="004860F5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0B07E2" w:rsidRPr="00316D44">
        <w:rPr>
          <w:b/>
          <w:sz w:val="22"/>
          <w:szCs w:val="22"/>
        </w:rPr>
        <w:t>Wskaźniki z art. 243</w:t>
      </w:r>
      <w:r w:rsidR="00CF23B5" w:rsidRPr="00316D44">
        <w:rPr>
          <w:b/>
          <w:sz w:val="22"/>
          <w:szCs w:val="22"/>
        </w:rPr>
        <w:t xml:space="preserve"> </w:t>
      </w:r>
    </w:p>
    <w:p w:rsidR="001B6908" w:rsidRDefault="008F7797" w:rsidP="001600D8">
      <w:pPr>
        <w:pStyle w:val="Akapitzlist"/>
        <w:tabs>
          <w:tab w:val="left" w:pos="284"/>
        </w:tabs>
        <w:ind w:left="284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latach 2015</w:t>
      </w:r>
      <w:r w:rsidR="00B61FC7">
        <w:rPr>
          <w:sz w:val="22"/>
          <w:szCs w:val="22"/>
        </w:rPr>
        <w:t>-20</w:t>
      </w:r>
      <w:r>
        <w:rPr>
          <w:sz w:val="22"/>
          <w:szCs w:val="22"/>
        </w:rPr>
        <w:t>23</w:t>
      </w:r>
      <w:r w:rsidR="00074A7A">
        <w:rPr>
          <w:sz w:val="22"/>
          <w:szCs w:val="22"/>
        </w:rPr>
        <w:t xml:space="preserve"> </w:t>
      </w:r>
      <w:r w:rsidR="000B07E2">
        <w:rPr>
          <w:sz w:val="22"/>
          <w:szCs w:val="22"/>
        </w:rPr>
        <w:t xml:space="preserve">relacja planowanej łącznej kwoty </w:t>
      </w:r>
      <w:r w:rsidR="00C80E51">
        <w:rPr>
          <w:sz w:val="22"/>
          <w:szCs w:val="22"/>
        </w:rPr>
        <w:t>spłaty</w:t>
      </w:r>
      <w:r w:rsidR="000B07E2">
        <w:rPr>
          <w:sz w:val="22"/>
          <w:szCs w:val="22"/>
        </w:rPr>
        <w:t xml:space="preserve"> zobowiązań</w:t>
      </w:r>
      <w:r w:rsidR="00F10CE5">
        <w:rPr>
          <w:sz w:val="22"/>
          <w:szCs w:val="22"/>
        </w:rPr>
        <w:t xml:space="preserve">, o której mowa </w:t>
      </w:r>
      <w:r w:rsidR="00133015">
        <w:rPr>
          <w:sz w:val="22"/>
          <w:szCs w:val="22"/>
        </w:rPr>
        <w:br/>
      </w:r>
      <w:r w:rsidR="00F10CE5">
        <w:rPr>
          <w:sz w:val="22"/>
          <w:szCs w:val="22"/>
        </w:rPr>
        <w:t xml:space="preserve">w art. 243 ust. 1 ustawy </w:t>
      </w:r>
      <w:r w:rsidR="00C80E51">
        <w:rPr>
          <w:sz w:val="22"/>
          <w:szCs w:val="22"/>
        </w:rPr>
        <w:t xml:space="preserve">do dochodów </w:t>
      </w:r>
      <w:r w:rsidR="00F10CE5">
        <w:rPr>
          <w:sz w:val="22"/>
          <w:szCs w:val="22"/>
        </w:rPr>
        <w:t xml:space="preserve">ogółem </w:t>
      </w:r>
      <w:r w:rsidR="00C80E51">
        <w:rPr>
          <w:sz w:val="22"/>
          <w:szCs w:val="22"/>
        </w:rPr>
        <w:t xml:space="preserve">w poszczególnych latach </w:t>
      </w:r>
      <w:r w:rsidR="00B61FC7">
        <w:rPr>
          <w:sz w:val="22"/>
          <w:szCs w:val="22"/>
        </w:rPr>
        <w:t>wynosi</w:t>
      </w:r>
      <w:r w:rsidR="00074A7A">
        <w:rPr>
          <w:sz w:val="22"/>
          <w:szCs w:val="22"/>
        </w:rPr>
        <w:t>:</w:t>
      </w:r>
    </w:p>
    <w:p w:rsidR="000C7B60" w:rsidRPr="000C7B60" w:rsidRDefault="000C7B60" w:rsidP="00DD5F5B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C7B60">
        <w:rPr>
          <w:sz w:val="22"/>
          <w:szCs w:val="22"/>
        </w:rPr>
        <w:t xml:space="preserve">w roku 2015 </w:t>
      </w:r>
      <w:r w:rsidR="008F7797">
        <w:rPr>
          <w:sz w:val="22"/>
          <w:szCs w:val="22"/>
        </w:rPr>
        <w:t>– 7,77</w:t>
      </w:r>
      <w:r w:rsidR="00DB1D23">
        <w:rPr>
          <w:sz w:val="22"/>
          <w:szCs w:val="22"/>
        </w:rPr>
        <w:t>%</w:t>
      </w:r>
      <w:r w:rsidR="001B6908">
        <w:rPr>
          <w:sz w:val="22"/>
          <w:szCs w:val="22"/>
        </w:rPr>
        <w:t xml:space="preserve"> </w:t>
      </w:r>
      <w:r w:rsidR="000C1F09">
        <w:rPr>
          <w:sz w:val="22"/>
          <w:szCs w:val="22"/>
        </w:rPr>
        <w:t>–</w:t>
      </w:r>
      <w:r w:rsidR="001B6908">
        <w:rPr>
          <w:sz w:val="22"/>
          <w:szCs w:val="22"/>
        </w:rPr>
        <w:t xml:space="preserve"> </w:t>
      </w:r>
      <w:proofErr w:type="spellStart"/>
      <w:r w:rsidR="000C1F09">
        <w:rPr>
          <w:sz w:val="22"/>
          <w:szCs w:val="22"/>
        </w:rPr>
        <w:t>max</w:t>
      </w:r>
      <w:proofErr w:type="spellEnd"/>
      <w:r w:rsidR="000C1F09">
        <w:rPr>
          <w:sz w:val="22"/>
          <w:szCs w:val="22"/>
        </w:rPr>
        <w:t xml:space="preserve">. </w:t>
      </w:r>
      <w:r w:rsidRPr="000C7B60">
        <w:rPr>
          <w:sz w:val="22"/>
          <w:szCs w:val="22"/>
        </w:rPr>
        <w:t xml:space="preserve">dopuszczalny wskaźnik wynosi </w:t>
      </w:r>
      <w:r w:rsidR="00757918">
        <w:rPr>
          <w:sz w:val="22"/>
          <w:szCs w:val="22"/>
        </w:rPr>
        <w:t xml:space="preserve">  </w:t>
      </w:r>
      <w:r w:rsidR="008F7797">
        <w:rPr>
          <w:sz w:val="22"/>
          <w:szCs w:val="22"/>
        </w:rPr>
        <w:t>9,74</w:t>
      </w:r>
      <w:r w:rsidR="00DB1D23">
        <w:rPr>
          <w:sz w:val="22"/>
          <w:szCs w:val="22"/>
        </w:rPr>
        <w:t>%</w:t>
      </w:r>
    </w:p>
    <w:p w:rsidR="000C7B60" w:rsidRPr="000C7B60" w:rsidRDefault="000C7B60" w:rsidP="00DD5F5B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C7B60">
        <w:rPr>
          <w:sz w:val="22"/>
          <w:szCs w:val="22"/>
        </w:rPr>
        <w:t xml:space="preserve">w roku 2016 </w:t>
      </w:r>
      <w:r w:rsidR="006F08C5">
        <w:rPr>
          <w:sz w:val="22"/>
          <w:szCs w:val="22"/>
        </w:rPr>
        <w:t>– 7,45</w:t>
      </w:r>
      <w:r w:rsidR="00DB1D23">
        <w:rPr>
          <w:sz w:val="22"/>
          <w:szCs w:val="22"/>
        </w:rPr>
        <w:t>%</w:t>
      </w:r>
      <w:r w:rsidRPr="000C7B60">
        <w:rPr>
          <w:sz w:val="22"/>
          <w:szCs w:val="22"/>
        </w:rPr>
        <w:t xml:space="preserve"> </w:t>
      </w:r>
      <w:r w:rsidR="000C1F09">
        <w:rPr>
          <w:sz w:val="22"/>
          <w:szCs w:val="22"/>
        </w:rPr>
        <w:t>–</w:t>
      </w:r>
      <w:r w:rsidR="001B6908">
        <w:rPr>
          <w:sz w:val="22"/>
          <w:szCs w:val="22"/>
        </w:rPr>
        <w:t xml:space="preserve"> </w:t>
      </w:r>
      <w:proofErr w:type="spellStart"/>
      <w:r w:rsidR="000C1F09">
        <w:rPr>
          <w:sz w:val="22"/>
          <w:szCs w:val="22"/>
        </w:rPr>
        <w:t>max</w:t>
      </w:r>
      <w:proofErr w:type="spellEnd"/>
      <w:r w:rsidR="000C1F09">
        <w:rPr>
          <w:sz w:val="22"/>
          <w:szCs w:val="22"/>
        </w:rPr>
        <w:t xml:space="preserve">. </w:t>
      </w:r>
      <w:r w:rsidRPr="000C7B60">
        <w:rPr>
          <w:sz w:val="22"/>
          <w:szCs w:val="22"/>
        </w:rPr>
        <w:t xml:space="preserve">dopuszczalny wskaźnik wynosi </w:t>
      </w:r>
      <w:r w:rsidR="008F7797">
        <w:rPr>
          <w:sz w:val="22"/>
          <w:szCs w:val="22"/>
        </w:rPr>
        <w:t>14,0</w:t>
      </w:r>
      <w:r w:rsidR="008130B7">
        <w:rPr>
          <w:sz w:val="22"/>
          <w:szCs w:val="22"/>
        </w:rPr>
        <w:t>9</w:t>
      </w:r>
      <w:r w:rsidR="00DB1D23">
        <w:rPr>
          <w:sz w:val="22"/>
          <w:szCs w:val="22"/>
        </w:rPr>
        <w:t>%</w:t>
      </w:r>
    </w:p>
    <w:p w:rsidR="000C7B60" w:rsidRDefault="000C7B60" w:rsidP="00DD5F5B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0C7B60">
        <w:rPr>
          <w:sz w:val="22"/>
          <w:szCs w:val="22"/>
        </w:rPr>
        <w:t>w roku 2017</w:t>
      </w:r>
      <w:r w:rsidR="00086542">
        <w:rPr>
          <w:sz w:val="22"/>
          <w:szCs w:val="22"/>
        </w:rPr>
        <w:t xml:space="preserve"> </w:t>
      </w:r>
      <w:r w:rsidR="006F08C5">
        <w:rPr>
          <w:sz w:val="22"/>
          <w:szCs w:val="22"/>
        </w:rPr>
        <w:t>– 6,7</w:t>
      </w:r>
      <w:r w:rsidR="008F7797">
        <w:rPr>
          <w:sz w:val="22"/>
          <w:szCs w:val="22"/>
        </w:rPr>
        <w:t>4</w:t>
      </w:r>
      <w:r w:rsidR="00DB1D23">
        <w:rPr>
          <w:sz w:val="22"/>
          <w:szCs w:val="22"/>
        </w:rPr>
        <w:t>%</w:t>
      </w:r>
      <w:r w:rsidR="00B248FF">
        <w:rPr>
          <w:sz w:val="22"/>
          <w:szCs w:val="22"/>
        </w:rPr>
        <w:t xml:space="preserve"> </w:t>
      </w:r>
      <w:r w:rsidR="000C1F09">
        <w:rPr>
          <w:sz w:val="22"/>
          <w:szCs w:val="22"/>
        </w:rPr>
        <w:t>–</w:t>
      </w:r>
      <w:r w:rsidR="001B6908" w:rsidRPr="00B248FF">
        <w:rPr>
          <w:sz w:val="22"/>
          <w:szCs w:val="22"/>
        </w:rPr>
        <w:t xml:space="preserve"> </w:t>
      </w:r>
      <w:proofErr w:type="spellStart"/>
      <w:r w:rsidR="000C1F09">
        <w:rPr>
          <w:sz w:val="22"/>
          <w:szCs w:val="22"/>
        </w:rPr>
        <w:t>max</w:t>
      </w:r>
      <w:proofErr w:type="spellEnd"/>
      <w:r w:rsidR="000C1F09">
        <w:rPr>
          <w:sz w:val="22"/>
          <w:szCs w:val="22"/>
        </w:rPr>
        <w:t>.</w:t>
      </w:r>
      <w:r w:rsidRPr="00B248FF">
        <w:rPr>
          <w:sz w:val="22"/>
          <w:szCs w:val="22"/>
        </w:rPr>
        <w:t xml:space="preserve"> dopuszczalny wskaźnik wynosi </w:t>
      </w:r>
      <w:r w:rsidR="006F08C5">
        <w:rPr>
          <w:sz w:val="22"/>
          <w:szCs w:val="22"/>
        </w:rPr>
        <w:t>14,34</w:t>
      </w:r>
      <w:r w:rsidR="00DB1D23">
        <w:rPr>
          <w:sz w:val="22"/>
          <w:szCs w:val="22"/>
        </w:rPr>
        <w:t>%</w:t>
      </w:r>
    </w:p>
    <w:p w:rsidR="000C1F09" w:rsidRDefault="00952817" w:rsidP="00DD5F5B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w </w:t>
      </w:r>
      <w:r w:rsidR="00086542">
        <w:rPr>
          <w:sz w:val="22"/>
          <w:szCs w:val="22"/>
        </w:rPr>
        <w:t>roku 2018</w:t>
      </w:r>
      <w:r>
        <w:rPr>
          <w:sz w:val="22"/>
          <w:szCs w:val="22"/>
        </w:rPr>
        <w:t xml:space="preserve"> </w:t>
      </w:r>
      <w:r w:rsidR="00DB1D23">
        <w:rPr>
          <w:sz w:val="22"/>
          <w:szCs w:val="22"/>
        </w:rPr>
        <w:t>–</w:t>
      </w:r>
      <w:r w:rsidR="004B3C80">
        <w:rPr>
          <w:sz w:val="22"/>
          <w:szCs w:val="22"/>
        </w:rPr>
        <w:t xml:space="preserve"> </w:t>
      </w:r>
      <w:r w:rsidR="006F08C5">
        <w:rPr>
          <w:sz w:val="22"/>
          <w:szCs w:val="22"/>
        </w:rPr>
        <w:t>4,04</w:t>
      </w:r>
      <w:r w:rsidR="00DB1D23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="00DB1D23">
        <w:rPr>
          <w:sz w:val="22"/>
          <w:szCs w:val="22"/>
        </w:rPr>
        <w:t>–</w:t>
      </w:r>
      <w:r w:rsidR="00DB1D23" w:rsidRPr="00B248FF">
        <w:rPr>
          <w:sz w:val="22"/>
          <w:szCs w:val="22"/>
        </w:rPr>
        <w:t xml:space="preserve"> </w:t>
      </w:r>
      <w:proofErr w:type="spellStart"/>
      <w:r w:rsidR="00DB1D23">
        <w:rPr>
          <w:sz w:val="22"/>
          <w:szCs w:val="22"/>
        </w:rPr>
        <w:t>max</w:t>
      </w:r>
      <w:proofErr w:type="spellEnd"/>
      <w:r w:rsidR="00DB1D23">
        <w:rPr>
          <w:sz w:val="22"/>
          <w:szCs w:val="22"/>
        </w:rPr>
        <w:t>.</w:t>
      </w:r>
      <w:r w:rsidR="008130B7">
        <w:rPr>
          <w:sz w:val="22"/>
          <w:szCs w:val="22"/>
        </w:rPr>
        <w:t xml:space="preserve"> d</w:t>
      </w:r>
      <w:r w:rsidR="00F10CE5">
        <w:rPr>
          <w:sz w:val="22"/>
          <w:szCs w:val="22"/>
        </w:rPr>
        <w:t>o</w:t>
      </w:r>
      <w:r w:rsidR="006F08C5">
        <w:rPr>
          <w:sz w:val="22"/>
          <w:szCs w:val="22"/>
        </w:rPr>
        <w:t>puszczalny wskaźnik wynosi 14,68</w:t>
      </w:r>
      <w:r w:rsidR="00DB1D23">
        <w:rPr>
          <w:sz w:val="22"/>
          <w:szCs w:val="22"/>
        </w:rPr>
        <w:t>%</w:t>
      </w:r>
    </w:p>
    <w:p w:rsidR="007D4F57" w:rsidRDefault="006F08C5" w:rsidP="007D4F57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w roku 2019 – 3,11</w:t>
      </w:r>
      <w:r w:rsidR="007D4F57">
        <w:rPr>
          <w:sz w:val="22"/>
          <w:szCs w:val="22"/>
        </w:rPr>
        <w:t>% –</w:t>
      </w:r>
      <w:r w:rsidR="007D4F57" w:rsidRPr="00B248FF">
        <w:rPr>
          <w:sz w:val="22"/>
          <w:szCs w:val="22"/>
        </w:rPr>
        <w:t xml:space="preserve"> </w:t>
      </w:r>
      <w:proofErr w:type="spellStart"/>
      <w:r w:rsidR="007D4F57">
        <w:rPr>
          <w:sz w:val="22"/>
          <w:szCs w:val="22"/>
        </w:rPr>
        <w:t>max</w:t>
      </w:r>
      <w:proofErr w:type="spellEnd"/>
      <w:r w:rsidR="007D4F57">
        <w:rPr>
          <w:sz w:val="22"/>
          <w:szCs w:val="22"/>
        </w:rPr>
        <w:t>. do</w:t>
      </w:r>
      <w:r>
        <w:rPr>
          <w:sz w:val="22"/>
          <w:szCs w:val="22"/>
        </w:rPr>
        <w:t>puszczalny wskaźnik wynosi 14,64</w:t>
      </w:r>
      <w:r w:rsidR="007D4F57">
        <w:rPr>
          <w:sz w:val="22"/>
          <w:szCs w:val="22"/>
        </w:rPr>
        <w:t>%</w:t>
      </w:r>
    </w:p>
    <w:p w:rsidR="007D4F57" w:rsidRDefault="006F08C5" w:rsidP="007D4F57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w roku 2020 – 2,7</w:t>
      </w:r>
      <w:r w:rsidR="007D4F57">
        <w:rPr>
          <w:sz w:val="22"/>
          <w:szCs w:val="22"/>
        </w:rPr>
        <w:t>5% –</w:t>
      </w:r>
      <w:r w:rsidR="007D4F57" w:rsidRPr="00B248FF">
        <w:rPr>
          <w:sz w:val="22"/>
          <w:szCs w:val="22"/>
        </w:rPr>
        <w:t xml:space="preserve"> </w:t>
      </w:r>
      <w:proofErr w:type="spellStart"/>
      <w:r w:rsidR="007D4F57">
        <w:rPr>
          <w:sz w:val="22"/>
          <w:szCs w:val="22"/>
        </w:rPr>
        <w:t>max</w:t>
      </w:r>
      <w:proofErr w:type="spellEnd"/>
      <w:r w:rsidR="007D4F57">
        <w:rPr>
          <w:sz w:val="22"/>
          <w:szCs w:val="22"/>
        </w:rPr>
        <w:t>. do</w:t>
      </w:r>
      <w:r>
        <w:rPr>
          <w:sz w:val="22"/>
          <w:szCs w:val="22"/>
        </w:rPr>
        <w:t>puszczalny wskaźnik wynosi 15,23</w:t>
      </w:r>
      <w:r w:rsidR="007D4F57">
        <w:rPr>
          <w:sz w:val="22"/>
          <w:szCs w:val="22"/>
        </w:rPr>
        <w:t>%</w:t>
      </w:r>
    </w:p>
    <w:p w:rsidR="007D4F57" w:rsidRDefault="006F08C5" w:rsidP="007D4F57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w roku 2021 – 2,67</w:t>
      </w:r>
      <w:r w:rsidR="007D4F57">
        <w:rPr>
          <w:sz w:val="22"/>
          <w:szCs w:val="22"/>
        </w:rPr>
        <w:t>% –</w:t>
      </w:r>
      <w:r w:rsidR="007D4F57" w:rsidRPr="00B248FF">
        <w:rPr>
          <w:sz w:val="22"/>
          <w:szCs w:val="22"/>
        </w:rPr>
        <w:t xml:space="preserve"> </w:t>
      </w:r>
      <w:proofErr w:type="spellStart"/>
      <w:r w:rsidR="007D4F57">
        <w:rPr>
          <w:sz w:val="22"/>
          <w:szCs w:val="22"/>
        </w:rPr>
        <w:t>max</w:t>
      </w:r>
      <w:proofErr w:type="spellEnd"/>
      <w:r w:rsidR="007D4F57">
        <w:rPr>
          <w:sz w:val="22"/>
          <w:szCs w:val="22"/>
        </w:rPr>
        <w:t>. do</w:t>
      </w:r>
      <w:r>
        <w:rPr>
          <w:sz w:val="22"/>
          <w:szCs w:val="22"/>
        </w:rPr>
        <w:t>puszczalny wskaźnik wynosi 15,81</w:t>
      </w:r>
      <w:r w:rsidR="007D4F57">
        <w:rPr>
          <w:sz w:val="22"/>
          <w:szCs w:val="22"/>
        </w:rPr>
        <w:t>%</w:t>
      </w:r>
    </w:p>
    <w:p w:rsidR="007D4F57" w:rsidRDefault="006F08C5" w:rsidP="007D4F57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w roku 2022 – 2,59</w:t>
      </w:r>
      <w:r w:rsidR="007D4F57">
        <w:rPr>
          <w:sz w:val="22"/>
          <w:szCs w:val="22"/>
        </w:rPr>
        <w:t>% –</w:t>
      </w:r>
      <w:r w:rsidR="007D4F57" w:rsidRPr="00B248FF">
        <w:rPr>
          <w:sz w:val="22"/>
          <w:szCs w:val="22"/>
        </w:rPr>
        <w:t xml:space="preserve"> </w:t>
      </w:r>
      <w:proofErr w:type="spellStart"/>
      <w:r w:rsidR="007D4F57">
        <w:rPr>
          <w:sz w:val="22"/>
          <w:szCs w:val="22"/>
        </w:rPr>
        <w:t>max</w:t>
      </w:r>
      <w:proofErr w:type="spellEnd"/>
      <w:r w:rsidR="007D4F57">
        <w:rPr>
          <w:sz w:val="22"/>
          <w:szCs w:val="22"/>
        </w:rPr>
        <w:t>. do</w:t>
      </w:r>
      <w:r>
        <w:rPr>
          <w:sz w:val="22"/>
          <w:szCs w:val="22"/>
        </w:rPr>
        <w:t>puszczalny wskaźnik wynosi 16,39</w:t>
      </w:r>
      <w:r w:rsidR="007D4F57">
        <w:rPr>
          <w:sz w:val="22"/>
          <w:szCs w:val="22"/>
        </w:rPr>
        <w:t>%</w:t>
      </w:r>
    </w:p>
    <w:p w:rsidR="00133015" w:rsidRDefault="006F08C5" w:rsidP="00DD5F5B">
      <w:pPr>
        <w:tabs>
          <w:tab w:val="left" w:pos="28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>w roku 2023 – 2,50</w:t>
      </w:r>
      <w:r w:rsidR="007D4F57">
        <w:rPr>
          <w:sz w:val="22"/>
          <w:szCs w:val="22"/>
        </w:rPr>
        <w:t>% –</w:t>
      </w:r>
      <w:r w:rsidR="007D4F57" w:rsidRPr="00B248FF">
        <w:rPr>
          <w:sz w:val="22"/>
          <w:szCs w:val="22"/>
        </w:rPr>
        <w:t xml:space="preserve"> </w:t>
      </w:r>
      <w:proofErr w:type="spellStart"/>
      <w:r w:rsidR="007D4F57">
        <w:rPr>
          <w:sz w:val="22"/>
          <w:szCs w:val="22"/>
        </w:rPr>
        <w:t>max</w:t>
      </w:r>
      <w:proofErr w:type="spellEnd"/>
      <w:r w:rsidR="007D4F57">
        <w:rPr>
          <w:sz w:val="22"/>
          <w:szCs w:val="22"/>
        </w:rPr>
        <w:t>. do</w:t>
      </w:r>
      <w:r>
        <w:rPr>
          <w:sz w:val="22"/>
          <w:szCs w:val="22"/>
        </w:rPr>
        <w:t>puszczalny wskaźnik wynosi 16,96</w:t>
      </w:r>
      <w:r w:rsidR="007D4F57">
        <w:rPr>
          <w:sz w:val="22"/>
          <w:szCs w:val="22"/>
        </w:rPr>
        <w:t>%</w:t>
      </w:r>
    </w:p>
    <w:p w:rsidR="00133015" w:rsidRDefault="008F7797" w:rsidP="00DD5F5B">
      <w:p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Dopuszcza</w:t>
      </w:r>
      <w:r w:rsidR="00133015">
        <w:rPr>
          <w:sz w:val="22"/>
          <w:szCs w:val="22"/>
        </w:rPr>
        <w:t>lny wskaźnik</w:t>
      </w:r>
      <w:r>
        <w:rPr>
          <w:sz w:val="22"/>
          <w:szCs w:val="22"/>
        </w:rPr>
        <w:t xml:space="preserve"> </w:t>
      </w:r>
      <w:r w:rsidR="00133015">
        <w:rPr>
          <w:sz w:val="22"/>
          <w:szCs w:val="22"/>
        </w:rPr>
        <w:t xml:space="preserve">spłaty zobowiązań określony w art. 243 </w:t>
      </w:r>
      <w:r w:rsidR="00133015" w:rsidRPr="005C406C">
        <w:rPr>
          <w:sz w:val="22"/>
          <w:szCs w:val="22"/>
        </w:rPr>
        <w:t>ustawy o finansach p</w:t>
      </w:r>
      <w:r w:rsidR="00133015">
        <w:rPr>
          <w:sz w:val="22"/>
          <w:szCs w:val="22"/>
        </w:rPr>
        <w:t xml:space="preserve">ublicznych </w:t>
      </w:r>
      <w:r w:rsidR="00133015">
        <w:rPr>
          <w:sz w:val="22"/>
          <w:szCs w:val="22"/>
        </w:rPr>
        <w:br/>
      </w:r>
      <w:r w:rsidR="00133015" w:rsidRPr="005C406C">
        <w:rPr>
          <w:sz w:val="22"/>
          <w:szCs w:val="22"/>
        </w:rPr>
        <w:t>z dnia 27 sierpnia 2009</w:t>
      </w:r>
      <w:r w:rsidR="00133015">
        <w:rPr>
          <w:sz w:val="22"/>
          <w:szCs w:val="22"/>
        </w:rPr>
        <w:t xml:space="preserve"> roku, obliczony w oparciu o wykonanie roku poprzedzającego pierwszy rok prognozy (wskaźnik dla danego roku ustalony w oparciu o średnią arytmetyczną z 3 poprze</w:t>
      </w:r>
      <w:r w:rsidR="00133015">
        <w:rPr>
          <w:sz w:val="22"/>
          <w:szCs w:val="22"/>
        </w:rPr>
        <w:t>d</w:t>
      </w:r>
      <w:r w:rsidR="00133015">
        <w:rPr>
          <w:sz w:val="22"/>
          <w:szCs w:val="22"/>
        </w:rPr>
        <w:t>nich lat),</w:t>
      </w:r>
    </w:p>
    <w:p w:rsidR="00575FE3" w:rsidRPr="00316D44" w:rsidRDefault="00575FE3" w:rsidP="00133015">
      <w:pPr>
        <w:ind w:firstLine="0"/>
        <w:jc w:val="both"/>
        <w:rPr>
          <w:sz w:val="22"/>
          <w:szCs w:val="22"/>
        </w:rPr>
      </w:pPr>
    </w:p>
    <w:p w:rsidR="00561314" w:rsidRDefault="00941B9A" w:rsidP="00CF23B5">
      <w:pPr>
        <w:pStyle w:val="Akapitzlist"/>
        <w:keepNext/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816BE" w:rsidRPr="00F47820">
        <w:rPr>
          <w:b/>
          <w:sz w:val="22"/>
          <w:szCs w:val="22"/>
        </w:rPr>
        <w:t>.</w:t>
      </w:r>
      <w:r w:rsidR="00CF23B5" w:rsidRPr="00561314">
        <w:rPr>
          <w:b/>
          <w:sz w:val="22"/>
          <w:szCs w:val="22"/>
        </w:rPr>
        <w:t xml:space="preserve"> </w:t>
      </w:r>
      <w:r w:rsidR="00316D44">
        <w:rPr>
          <w:b/>
          <w:sz w:val="22"/>
          <w:szCs w:val="22"/>
        </w:rPr>
        <w:t xml:space="preserve">  </w:t>
      </w:r>
      <w:r w:rsidR="00561314" w:rsidRPr="00561314">
        <w:rPr>
          <w:b/>
          <w:sz w:val="22"/>
          <w:szCs w:val="22"/>
        </w:rPr>
        <w:t xml:space="preserve">Opis przedsięwzięć </w:t>
      </w:r>
      <w:r w:rsidR="00AF5968">
        <w:rPr>
          <w:b/>
          <w:sz w:val="22"/>
          <w:szCs w:val="22"/>
        </w:rPr>
        <w:t>do WPF na lata 2015</w:t>
      </w:r>
      <w:r w:rsidR="00ED5087">
        <w:rPr>
          <w:b/>
          <w:sz w:val="22"/>
          <w:szCs w:val="22"/>
        </w:rPr>
        <w:t>-2017</w:t>
      </w:r>
    </w:p>
    <w:p w:rsidR="00ED7725" w:rsidRDefault="002656F7" w:rsidP="002656F7">
      <w:pPr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561314" w:rsidRPr="00F25809">
        <w:rPr>
          <w:b/>
          <w:sz w:val="22"/>
          <w:szCs w:val="22"/>
        </w:rPr>
        <w:t>r</w:t>
      </w:r>
      <w:r w:rsidR="00EA5C91">
        <w:rPr>
          <w:b/>
          <w:sz w:val="22"/>
          <w:szCs w:val="22"/>
        </w:rPr>
        <w:t xml:space="preserve">zedsięwzięcia ogółem: </w:t>
      </w: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1375F0">
        <w:rPr>
          <w:b/>
          <w:sz w:val="22"/>
          <w:szCs w:val="22"/>
        </w:rPr>
        <w:t>1 3</w:t>
      </w:r>
      <w:r w:rsidR="00EC39CF">
        <w:rPr>
          <w:b/>
          <w:sz w:val="22"/>
          <w:szCs w:val="22"/>
        </w:rPr>
        <w:t>8</w:t>
      </w:r>
      <w:r w:rsidR="001375F0">
        <w:rPr>
          <w:b/>
          <w:sz w:val="22"/>
          <w:szCs w:val="22"/>
        </w:rPr>
        <w:t>0 296</w:t>
      </w:r>
      <w:r w:rsidR="00561314" w:rsidRPr="00F25809">
        <w:rPr>
          <w:b/>
          <w:sz w:val="22"/>
          <w:szCs w:val="22"/>
        </w:rPr>
        <w:t xml:space="preserve"> </w:t>
      </w:r>
      <w:r w:rsidR="00732984" w:rsidRPr="00F25809">
        <w:rPr>
          <w:b/>
          <w:sz w:val="22"/>
          <w:szCs w:val="22"/>
        </w:rPr>
        <w:t>zł</w:t>
      </w:r>
      <w:r>
        <w:rPr>
          <w:b/>
          <w:sz w:val="22"/>
          <w:szCs w:val="22"/>
        </w:rPr>
        <w:t xml:space="preserve">   </w:t>
      </w:r>
      <w:r w:rsidR="00561314" w:rsidRPr="00F25809">
        <w:rPr>
          <w:sz w:val="22"/>
          <w:szCs w:val="22"/>
        </w:rPr>
        <w:t>z tego:</w:t>
      </w:r>
    </w:p>
    <w:p w:rsidR="009B70AB" w:rsidRDefault="001375F0" w:rsidP="00DD5F5B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wydatki bieżące </w:t>
      </w:r>
      <w:r w:rsidR="0096474F">
        <w:rPr>
          <w:sz w:val="22"/>
          <w:szCs w:val="22"/>
        </w:rPr>
        <w:t>4</w:t>
      </w:r>
      <w:r>
        <w:rPr>
          <w:sz w:val="22"/>
          <w:szCs w:val="22"/>
        </w:rPr>
        <w:t xml:space="preserve"> 097</w:t>
      </w:r>
      <w:r w:rsidR="009B70AB">
        <w:rPr>
          <w:sz w:val="22"/>
          <w:szCs w:val="22"/>
        </w:rPr>
        <w:t xml:space="preserve"> zł</w:t>
      </w:r>
    </w:p>
    <w:p w:rsidR="00ED5087" w:rsidRPr="00757918" w:rsidRDefault="009B70AB" w:rsidP="0075791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5F0">
        <w:rPr>
          <w:sz w:val="22"/>
          <w:szCs w:val="22"/>
        </w:rPr>
        <w:t>wydatki majątkowe 1 </w:t>
      </w:r>
      <w:r w:rsidR="00EC39CF">
        <w:rPr>
          <w:sz w:val="22"/>
          <w:szCs w:val="22"/>
        </w:rPr>
        <w:t>37</w:t>
      </w:r>
      <w:r w:rsidR="001375F0">
        <w:rPr>
          <w:sz w:val="22"/>
          <w:szCs w:val="22"/>
        </w:rPr>
        <w:t>6 199</w:t>
      </w:r>
      <w:r w:rsidR="002656F7">
        <w:rPr>
          <w:sz w:val="22"/>
          <w:szCs w:val="22"/>
        </w:rPr>
        <w:t xml:space="preserve"> zł</w:t>
      </w:r>
    </w:p>
    <w:p w:rsidR="002656F7" w:rsidRPr="0096474F" w:rsidRDefault="002656F7" w:rsidP="00DD5F5B">
      <w:pPr>
        <w:ind w:firstLine="284"/>
        <w:rPr>
          <w:b/>
          <w:sz w:val="22"/>
          <w:szCs w:val="22"/>
        </w:rPr>
      </w:pPr>
      <w:r w:rsidRPr="0096474F">
        <w:rPr>
          <w:b/>
          <w:sz w:val="22"/>
          <w:szCs w:val="22"/>
        </w:rPr>
        <w:t>1) programy, projekty lub zadania (raze</w:t>
      </w:r>
      <w:r w:rsidR="0096474F">
        <w:rPr>
          <w:b/>
          <w:sz w:val="22"/>
          <w:szCs w:val="22"/>
        </w:rPr>
        <w:t xml:space="preserve">m)                        </w:t>
      </w:r>
      <w:r w:rsidRPr="0096474F">
        <w:rPr>
          <w:b/>
          <w:sz w:val="22"/>
          <w:szCs w:val="22"/>
        </w:rPr>
        <w:t xml:space="preserve">                   </w:t>
      </w:r>
      <w:r w:rsidR="00366831" w:rsidRPr="0096474F">
        <w:rPr>
          <w:b/>
          <w:sz w:val="22"/>
          <w:szCs w:val="22"/>
        </w:rPr>
        <w:t xml:space="preserve">                      </w:t>
      </w:r>
      <w:r w:rsidR="00EC39CF">
        <w:rPr>
          <w:b/>
          <w:sz w:val="22"/>
          <w:szCs w:val="22"/>
        </w:rPr>
        <w:t xml:space="preserve"> 1 </w:t>
      </w:r>
      <w:r w:rsidR="001375F0">
        <w:rPr>
          <w:b/>
          <w:sz w:val="22"/>
          <w:szCs w:val="22"/>
        </w:rPr>
        <w:t>3</w:t>
      </w:r>
      <w:r w:rsidR="00EC39CF">
        <w:rPr>
          <w:b/>
          <w:sz w:val="22"/>
          <w:szCs w:val="22"/>
        </w:rPr>
        <w:t>8</w:t>
      </w:r>
      <w:r w:rsidR="001375F0">
        <w:rPr>
          <w:b/>
          <w:sz w:val="22"/>
          <w:szCs w:val="22"/>
        </w:rPr>
        <w:t>0 296</w:t>
      </w:r>
      <w:r w:rsidR="00366831" w:rsidRPr="0096474F">
        <w:rPr>
          <w:b/>
          <w:sz w:val="22"/>
          <w:szCs w:val="22"/>
        </w:rPr>
        <w:t xml:space="preserve"> </w:t>
      </w:r>
      <w:r w:rsidRPr="0096474F">
        <w:rPr>
          <w:b/>
          <w:sz w:val="22"/>
          <w:szCs w:val="22"/>
        </w:rPr>
        <w:t>zł</w:t>
      </w:r>
    </w:p>
    <w:p w:rsidR="002656F7" w:rsidRDefault="001375F0" w:rsidP="002656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wydatki bieżące 4 097</w:t>
      </w:r>
      <w:r w:rsidR="002656F7">
        <w:rPr>
          <w:sz w:val="22"/>
          <w:szCs w:val="22"/>
        </w:rPr>
        <w:t xml:space="preserve"> zł</w:t>
      </w:r>
    </w:p>
    <w:p w:rsidR="00757918" w:rsidRDefault="001375F0" w:rsidP="0075791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wydatki majątkowe 1 </w:t>
      </w:r>
      <w:r w:rsidR="00EC39CF">
        <w:rPr>
          <w:sz w:val="22"/>
          <w:szCs w:val="22"/>
        </w:rPr>
        <w:t>37</w:t>
      </w:r>
      <w:r>
        <w:rPr>
          <w:sz w:val="22"/>
          <w:szCs w:val="22"/>
        </w:rPr>
        <w:t>6 199</w:t>
      </w:r>
      <w:r w:rsidR="002656F7">
        <w:rPr>
          <w:sz w:val="22"/>
          <w:szCs w:val="22"/>
        </w:rPr>
        <w:t xml:space="preserve"> zł</w:t>
      </w:r>
    </w:p>
    <w:p w:rsidR="0096474F" w:rsidRPr="001375F0" w:rsidRDefault="00401815" w:rsidP="001375F0">
      <w:pPr>
        <w:pStyle w:val="Akapitzlist"/>
        <w:numPr>
          <w:ilvl w:val="0"/>
          <w:numId w:val="28"/>
        </w:num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programy, projekty lub zadania związane z programami z udziałem środków, o których mowa w art. 5 ust. 1 pkt 2 i 3 </w:t>
      </w:r>
      <w:r w:rsidR="00E97997">
        <w:rPr>
          <w:b/>
          <w:sz w:val="22"/>
          <w:szCs w:val="22"/>
        </w:rPr>
        <w:t xml:space="preserve">– </w:t>
      </w:r>
      <w:r w:rsidR="001375F0">
        <w:rPr>
          <w:b/>
          <w:sz w:val="22"/>
          <w:szCs w:val="22"/>
        </w:rPr>
        <w:t>95 800</w:t>
      </w:r>
      <w:r w:rsidR="002656F7">
        <w:rPr>
          <w:b/>
          <w:sz w:val="22"/>
          <w:szCs w:val="22"/>
        </w:rPr>
        <w:t xml:space="preserve"> zł</w:t>
      </w:r>
    </w:p>
    <w:p w:rsidR="00807417" w:rsidRDefault="00807417" w:rsidP="00DD5F5B">
      <w:pPr>
        <w:rPr>
          <w:sz w:val="22"/>
          <w:szCs w:val="22"/>
        </w:rPr>
      </w:pPr>
      <w:r w:rsidRPr="00EA5C91">
        <w:rPr>
          <w:b/>
          <w:sz w:val="22"/>
          <w:szCs w:val="22"/>
        </w:rPr>
        <w:t xml:space="preserve">- limit zobowiązań na wydatki majątkowe w wysokości </w:t>
      </w:r>
      <w:r w:rsidR="001375F0">
        <w:rPr>
          <w:b/>
          <w:sz w:val="22"/>
          <w:szCs w:val="22"/>
        </w:rPr>
        <w:t>95 8</w:t>
      </w:r>
      <w:r w:rsidRPr="00EA5C91">
        <w:rPr>
          <w:b/>
          <w:sz w:val="22"/>
          <w:szCs w:val="22"/>
        </w:rPr>
        <w:t>00 zł</w:t>
      </w:r>
      <w:r w:rsidRPr="00807417">
        <w:rPr>
          <w:sz w:val="22"/>
          <w:szCs w:val="22"/>
        </w:rPr>
        <w:t>,</w:t>
      </w:r>
    </w:p>
    <w:p w:rsidR="00471190" w:rsidRPr="00471190" w:rsidRDefault="00471190" w:rsidP="00DD5F5B">
      <w:pPr>
        <w:rPr>
          <w:b/>
          <w:sz w:val="22"/>
          <w:szCs w:val="22"/>
        </w:rPr>
      </w:pPr>
      <w:r w:rsidRPr="00471190">
        <w:rPr>
          <w:b/>
          <w:sz w:val="22"/>
          <w:szCs w:val="22"/>
        </w:rPr>
        <w:t>Przeciwdziałanie wykluczeniu cyfrowemu</w:t>
      </w:r>
    </w:p>
    <w:p w:rsidR="001600D8" w:rsidRPr="00541C76" w:rsidRDefault="005D5A57" w:rsidP="00541C76">
      <w:pPr>
        <w:pStyle w:val="Akapitzlist"/>
        <w:numPr>
          <w:ilvl w:val="0"/>
          <w:numId w:val="36"/>
        </w:numPr>
        <w:ind w:left="99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Realizacja projekt pn. </w:t>
      </w:r>
      <w:r w:rsidR="004F3A47" w:rsidRPr="005D5A57">
        <w:rPr>
          <w:bCs/>
          <w:sz w:val="22"/>
          <w:szCs w:val="22"/>
        </w:rPr>
        <w:t>„</w:t>
      </w:r>
      <w:r w:rsidR="00471190" w:rsidRPr="005D5A57">
        <w:rPr>
          <w:bCs/>
          <w:sz w:val="22"/>
          <w:szCs w:val="22"/>
        </w:rPr>
        <w:t>Internet szansą rozwoju Gminy Piława Górna</w:t>
      </w:r>
      <w:r>
        <w:rPr>
          <w:bCs/>
          <w:sz w:val="22"/>
          <w:szCs w:val="22"/>
        </w:rPr>
        <w:t>”</w:t>
      </w:r>
      <w:r>
        <w:rPr>
          <w:sz w:val="22"/>
          <w:szCs w:val="22"/>
        </w:rPr>
        <w:t>.</w:t>
      </w:r>
      <w:r w:rsidRPr="005D5A57">
        <w:rPr>
          <w:sz w:val="22"/>
          <w:szCs w:val="22"/>
        </w:rPr>
        <w:t xml:space="preserve"> Priorytet VIII: </w:t>
      </w:r>
      <w:r w:rsidRPr="005D5A57">
        <w:rPr>
          <w:rStyle w:val="lead"/>
          <w:bCs/>
          <w:sz w:val="22"/>
          <w:szCs w:val="22"/>
        </w:rPr>
        <w:t>Sp</w:t>
      </w:r>
      <w:r w:rsidRPr="005D5A57">
        <w:rPr>
          <w:rStyle w:val="lead"/>
          <w:bCs/>
          <w:sz w:val="22"/>
          <w:szCs w:val="22"/>
        </w:rPr>
        <w:t>o</w:t>
      </w:r>
      <w:r w:rsidRPr="005D5A57">
        <w:rPr>
          <w:rStyle w:val="lead"/>
          <w:bCs/>
          <w:sz w:val="22"/>
          <w:szCs w:val="22"/>
        </w:rPr>
        <w:t>łeczeństwo informacyjne – zwiększanie innowacyjności gospodarki</w:t>
      </w:r>
      <w:r w:rsidRPr="005D5A57">
        <w:rPr>
          <w:bCs/>
          <w:i/>
          <w:sz w:val="22"/>
          <w:szCs w:val="22"/>
        </w:rPr>
        <w:t xml:space="preserve">, </w:t>
      </w:r>
      <w:r w:rsidRPr="005D5A57">
        <w:rPr>
          <w:bCs/>
          <w:sz w:val="22"/>
          <w:szCs w:val="22"/>
        </w:rPr>
        <w:t>Działanie 8.3 Prz</w:t>
      </w:r>
      <w:r w:rsidRPr="005D5A57">
        <w:rPr>
          <w:bCs/>
          <w:sz w:val="22"/>
          <w:szCs w:val="22"/>
        </w:rPr>
        <w:t>e</w:t>
      </w:r>
      <w:r w:rsidRPr="005D5A57">
        <w:rPr>
          <w:bCs/>
          <w:sz w:val="22"/>
          <w:szCs w:val="22"/>
        </w:rPr>
        <w:t>ciwdziałanie wykluczeniu cyfrowemu – eInclusion,</w:t>
      </w:r>
      <w:r w:rsidRPr="005D5A57">
        <w:rPr>
          <w:i/>
          <w:sz w:val="22"/>
          <w:szCs w:val="22"/>
        </w:rPr>
        <w:t xml:space="preserve">  </w:t>
      </w:r>
      <w:r w:rsidRPr="005D5A57">
        <w:rPr>
          <w:bCs/>
          <w:sz w:val="22"/>
          <w:szCs w:val="22"/>
        </w:rPr>
        <w:t>Program Operacyjny Innowacyjna Gospodarka</w:t>
      </w:r>
      <w:r w:rsidRPr="005D5A57">
        <w:rPr>
          <w:sz w:val="22"/>
          <w:szCs w:val="22"/>
        </w:rPr>
        <w:t xml:space="preserve"> Projekt będzie miał na celu zapewnienie dostępu do Internetu dla osób zagr</w:t>
      </w:r>
      <w:r w:rsidRPr="005D5A57">
        <w:rPr>
          <w:sz w:val="22"/>
          <w:szCs w:val="22"/>
        </w:rPr>
        <w:t>o</w:t>
      </w:r>
      <w:r w:rsidRPr="005D5A57">
        <w:rPr>
          <w:sz w:val="22"/>
          <w:szCs w:val="22"/>
        </w:rPr>
        <w:t>żonych wykluczeniem cyfrowym z powodu trudnej sytuacji materialnej lub niepełn</w:t>
      </w:r>
      <w:r w:rsidRPr="005D5A57">
        <w:rPr>
          <w:sz w:val="22"/>
          <w:szCs w:val="22"/>
        </w:rPr>
        <w:t>o</w:t>
      </w:r>
      <w:r w:rsidRPr="005D5A57">
        <w:rPr>
          <w:sz w:val="22"/>
          <w:szCs w:val="22"/>
        </w:rPr>
        <w:t>sprawności. Działanie polega na sfinansowaniu zakupu komputerów wraz zapewnieniem dostępu do Internetu dla osób objętych systemem wsparcia społecznego lub niepełn</w:t>
      </w:r>
      <w:r w:rsidRPr="005D5A57">
        <w:rPr>
          <w:sz w:val="22"/>
          <w:szCs w:val="22"/>
        </w:rPr>
        <w:t>o</w:t>
      </w:r>
      <w:r w:rsidRPr="005D5A57">
        <w:rPr>
          <w:sz w:val="22"/>
          <w:szCs w:val="22"/>
        </w:rPr>
        <w:t>sprawnych, zagrożonych wykluczeniem cyfrowym</w:t>
      </w:r>
      <w:r>
        <w:rPr>
          <w:sz w:val="22"/>
          <w:szCs w:val="22"/>
        </w:rPr>
        <w:t>. Okres realizacji od 01.03</w:t>
      </w:r>
      <w:r w:rsidR="009179BF">
        <w:rPr>
          <w:sz w:val="22"/>
          <w:szCs w:val="22"/>
        </w:rPr>
        <w:t>.</w:t>
      </w:r>
      <w:r>
        <w:rPr>
          <w:sz w:val="22"/>
          <w:szCs w:val="22"/>
        </w:rPr>
        <w:t xml:space="preserve">2013 </w:t>
      </w:r>
      <w:r w:rsidR="00541C76">
        <w:rPr>
          <w:sz w:val="22"/>
          <w:szCs w:val="22"/>
        </w:rPr>
        <w:br/>
      </w:r>
      <w:r>
        <w:rPr>
          <w:sz w:val="22"/>
          <w:szCs w:val="22"/>
        </w:rPr>
        <w:t>do 30.11.2015 r.</w:t>
      </w:r>
      <w:r w:rsidR="00541C76">
        <w:rPr>
          <w:sz w:val="22"/>
          <w:szCs w:val="22"/>
        </w:rPr>
        <w:t xml:space="preserve"> </w:t>
      </w:r>
      <w:r w:rsidRPr="00541C76">
        <w:rPr>
          <w:sz w:val="22"/>
          <w:szCs w:val="22"/>
        </w:rPr>
        <w:t>Łączne nakłady</w:t>
      </w:r>
      <w:r w:rsidR="001375F0">
        <w:rPr>
          <w:sz w:val="22"/>
          <w:szCs w:val="22"/>
        </w:rPr>
        <w:t xml:space="preserve"> finansowe 444 000 zł, </w:t>
      </w:r>
      <w:r w:rsidRPr="00541C76">
        <w:rPr>
          <w:sz w:val="22"/>
          <w:szCs w:val="22"/>
        </w:rPr>
        <w:t>- limit zobowią</w:t>
      </w:r>
      <w:r w:rsidR="001375F0">
        <w:rPr>
          <w:sz w:val="22"/>
          <w:szCs w:val="22"/>
        </w:rPr>
        <w:t xml:space="preserve">zań: 2015 rok </w:t>
      </w:r>
      <w:r w:rsidR="001375F0">
        <w:rPr>
          <w:sz w:val="22"/>
          <w:szCs w:val="22"/>
        </w:rPr>
        <w:br/>
        <w:t>–  95 800</w:t>
      </w:r>
      <w:r w:rsidRPr="00541C76">
        <w:rPr>
          <w:sz w:val="22"/>
          <w:szCs w:val="22"/>
        </w:rPr>
        <w:t xml:space="preserve"> zł.</w:t>
      </w:r>
    </w:p>
    <w:p w:rsidR="00757918" w:rsidRDefault="00086542" w:rsidP="00757918">
      <w:pPr>
        <w:pStyle w:val="Akapitzlist"/>
        <w:numPr>
          <w:ilvl w:val="0"/>
          <w:numId w:val="28"/>
        </w:numPr>
        <w:ind w:left="993" w:hanging="426"/>
        <w:jc w:val="both"/>
        <w:rPr>
          <w:b/>
          <w:sz w:val="22"/>
          <w:szCs w:val="22"/>
        </w:rPr>
      </w:pPr>
      <w:r w:rsidRPr="00EF3FCE">
        <w:rPr>
          <w:b/>
          <w:sz w:val="22"/>
          <w:szCs w:val="22"/>
        </w:rPr>
        <w:t xml:space="preserve">programy, projekty lub zadania związane z umowami partnerstwa publiczno </w:t>
      </w:r>
      <w:r w:rsidR="001600D8" w:rsidRPr="00EF3FCE">
        <w:rPr>
          <w:b/>
          <w:sz w:val="22"/>
          <w:szCs w:val="22"/>
        </w:rPr>
        <w:br/>
      </w:r>
      <w:r w:rsidRPr="00EF3FCE">
        <w:rPr>
          <w:b/>
          <w:sz w:val="22"/>
          <w:szCs w:val="22"/>
        </w:rPr>
        <w:t xml:space="preserve">prywatnego </w:t>
      </w:r>
      <w:r w:rsidR="00757918">
        <w:rPr>
          <w:b/>
          <w:sz w:val="22"/>
          <w:szCs w:val="22"/>
        </w:rPr>
        <w:t>–</w:t>
      </w:r>
      <w:r w:rsidRPr="00EF3FCE">
        <w:rPr>
          <w:b/>
          <w:sz w:val="22"/>
          <w:szCs w:val="22"/>
        </w:rPr>
        <w:t xml:space="preserve"> brak</w:t>
      </w:r>
    </w:p>
    <w:p w:rsidR="006E0B88" w:rsidRPr="00757918" w:rsidRDefault="006E0B88" w:rsidP="006E0B88">
      <w:pPr>
        <w:pStyle w:val="Akapitzlist"/>
        <w:ind w:left="993" w:firstLine="0"/>
        <w:jc w:val="both"/>
        <w:rPr>
          <w:b/>
          <w:sz w:val="22"/>
          <w:szCs w:val="22"/>
        </w:rPr>
      </w:pPr>
    </w:p>
    <w:p w:rsidR="00946959" w:rsidRPr="00EF3FCE" w:rsidRDefault="009E03D6" w:rsidP="00DD5F5B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EF3FCE">
        <w:rPr>
          <w:b/>
          <w:sz w:val="22"/>
          <w:szCs w:val="22"/>
        </w:rPr>
        <w:t>programy, projekty lub zadania pozostałe (inne niż wymienione w lit. a i b)</w:t>
      </w:r>
    </w:p>
    <w:p w:rsidR="00EF3FCE" w:rsidRPr="00757918" w:rsidRDefault="00EA5C91" w:rsidP="00757918">
      <w:pPr>
        <w:pStyle w:val="Akapitzlist"/>
        <w:ind w:left="851" w:firstLine="0"/>
        <w:rPr>
          <w:sz w:val="22"/>
          <w:szCs w:val="22"/>
        </w:rPr>
      </w:pPr>
      <w:r w:rsidRPr="00EF3FCE">
        <w:rPr>
          <w:b/>
          <w:sz w:val="22"/>
          <w:szCs w:val="22"/>
        </w:rPr>
        <w:t>- limit zobowiązań na wyd</w:t>
      </w:r>
      <w:r w:rsidR="001375F0" w:rsidRPr="00EF3FCE">
        <w:rPr>
          <w:b/>
          <w:sz w:val="22"/>
          <w:szCs w:val="22"/>
        </w:rPr>
        <w:t>atki majątkowe w wysokości 1 </w:t>
      </w:r>
      <w:r w:rsidR="00CF2D7D">
        <w:rPr>
          <w:b/>
          <w:sz w:val="22"/>
          <w:szCs w:val="22"/>
        </w:rPr>
        <w:t>28</w:t>
      </w:r>
      <w:r w:rsidR="001375F0" w:rsidRPr="00EF3FCE">
        <w:rPr>
          <w:b/>
          <w:sz w:val="22"/>
          <w:szCs w:val="22"/>
        </w:rPr>
        <w:t>4 496</w:t>
      </w:r>
      <w:r w:rsidRPr="00EF3FCE">
        <w:rPr>
          <w:b/>
          <w:sz w:val="22"/>
          <w:szCs w:val="22"/>
        </w:rPr>
        <w:t xml:space="preserve"> zł,</w:t>
      </w:r>
      <w:r w:rsidRPr="00EF3FCE">
        <w:rPr>
          <w:sz w:val="22"/>
          <w:szCs w:val="22"/>
        </w:rPr>
        <w:t xml:space="preserve">  w tym:</w:t>
      </w:r>
    </w:p>
    <w:p w:rsidR="00757918" w:rsidRPr="00416650" w:rsidRDefault="001375F0" w:rsidP="00416650">
      <w:pPr>
        <w:ind w:left="425" w:firstLine="426"/>
        <w:rPr>
          <w:b/>
          <w:sz w:val="22"/>
          <w:szCs w:val="22"/>
        </w:rPr>
      </w:pPr>
      <w:r w:rsidRPr="00416650">
        <w:rPr>
          <w:b/>
          <w:sz w:val="22"/>
          <w:szCs w:val="22"/>
        </w:rPr>
        <w:lastRenderedPageBreak/>
        <w:t>- wydatki bieżące 4</w:t>
      </w:r>
      <w:r w:rsidR="00F8163C" w:rsidRPr="00416650">
        <w:rPr>
          <w:b/>
          <w:sz w:val="22"/>
          <w:szCs w:val="22"/>
        </w:rPr>
        <w:t xml:space="preserve"> </w:t>
      </w:r>
      <w:r w:rsidRPr="00416650">
        <w:rPr>
          <w:b/>
          <w:sz w:val="22"/>
          <w:szCs w:val="22"/>
        </w:rPr>
        <w:t>097 zł</w:t>
      </w:r>
    </w:p>
    <w:p w:rsidR="006E0B88" w:rsidRPr="00757918" w:rsidRDefault="006E0B88" w:rsidP="00757918">
      <w:pPr>
        <w:pStyle w:val="Akapitzlist"/>
        <w:ind w:left="927" w:firstLine="0"/>
        <w:rPr>
          <w:b/>
          <w:sz w:val="22"/>
          <w:szCs w:val="22"/>
        </w:rPr>
      </w:pPr>
    </w:p>
    <w:p w:rsidR="001375F0" w:rsidRPr="00EF3FCE" w:rsidRDefault="00EF3FCE" w:rsidP="00EF3FCE">
      <w:pPr>
        <w:pStyle w:val="Akapitzlist"/>
        <w:numPr>
          <w:ilvl w:val="0"/>
          <w:numId w:val="36"/>
        </w:numPr>
        <w:ind w:left="1134" w:hanging="283"/>
        <w:jc w:val="both"/>
        <w:rPr>
          <w:b/>
          <w:sz w:val="22"/>
          <w:szCs w:val="22"/>
        </w:rPr>
      </w:pPr>
      <w:r w:rsidRPr="00EF3FCE">
        <w:rPr>
          <w:b/>
          <w:sz w:val="22"/>
          <w:szCs w:val="22"/>
        </w:rPr>
        <w:t>P</w:t>
      </w:r>
      <w:r w:rsidRPr="00EF3FCE">
        <w:rPr>
          <w:b/>
          <w:bCs/>
          <w:sz w:val="22"/>
          <w:szCs w:val="22"/>
        </w:rPr>
        <w:t>artnerstwo JST Ziemi Dzierżoniowskiej – wspólnie w stronę zrównoważonego rozwoju”</w:t>
      </w:r>
    </w:p>
    <w:p w:rsidR="00EF3FCE" w:rsidRPr="00EF3FCE" w:rsidRDefault="00EF3FCE" w:rsidP="00EF3FCE">
      <w:pPr>
        <w:tabs>
          <w:tab w:val="left" w:pos="284"/>
        </w:tabs>
        <w:ind w:left="1134" w:firstLine="0"/>
        <w:jc w:val="both"/>
        <w:rPr>
          <w:bCs/>
          <w:sz w:val="22"/>
          <w:szCs w:val="22"/>
        </w:rPr>
      </w:pPr>
      <w:r w:rsidRPr="00EF3FCE">
        <w:rPr>
          <w:sz w:val="22"/>
          <w:szCs w:val="22"/>
        </w:rPr>
        <w:t>Zgodnie z umową partnerstwa jednostek samorządu terytorialnego powiatu dzierżonio</w:t>
      </w:r>
      <w:r w:rsidRPr="00EF3FCE">
        <w:rPr>
          <w:sz w:val="22"/>
          <w:szCs w:val="22"/>
        </w:rPr>
        <w:t>w</w:t>
      </w:r>
      <w:r w:rsidRPr="00EF3FCE">
        <w:rPr>
          <w:sz w:val="22"/>
          <w:szCs w:val="22"/>
        </w:rPr>
        <w:t>skiego</w:t>
      </w:r>
      <w:r w:rsidRPr="00EF3FCE">
        <w:rPr>
          <w:bCs/>
          <w:sz w:val="22"/>
          <w:szCs w:val="22"/>
        </w:rPr>
        <w:t xml:space="preserve"> w realizacji projektu pn. „Partnerstwo JST Ziemi Dzierżoniowskiej – wspólnie </w:t>
      </w:r>
      <w:r w:rsidRPr="00EF3FCE">
        <w:rPr>
          <w:bCs/>
          <w:sz w:val="22"/>
          <w:szCs w:val="22"/>
        </w:rPr>
        <w:br/>
        <w:t xml:space="preserve">w stronę zrównoważonego rozwoju” z dnia 31.01.2014 r. uczestniczą  </w:t>
      </w:r>
      <w:r w:rsidRPr="00EF3FCE">
        <w:rPr>
          <w:sz w:val="22"/>
          <w:szCs w:val="22"/>
        </w:rPr>
        <w:t>Partnerzy projektu tj. : Powiat Dzierżoniowski, Gmina Bielawa, Gmina Pieszyce, Gmina Wiejska Dzierż</w:t>
      </w:r>
      <w:r w:rsidRPr="00EF3FCE">
        <w:rPr>
          <w:sz w:val="22"/>
          <w:szCs w:val="22"/>
        </w:rPr>
        <w:t>o</w:t>
      </w:r>
      <w:r w:rsidRPr="00EF3FCE">
        <w:rPr>
          <w:sz w:val="22"/>
          <w:szCs w:val="22"/>
        </w:rPr>
        <w:t>niów, Gmina Wiejska Łagiewniki, Gmina Miejsko-Wiejska Niemcza, Gmina Miejska P</w:t>
      </w:r>
      <w:r w:rsidRPr="00EF3FCE">
        <w:rPr>
          <w:sz w:val="22"/>
          <w:szCs w:val="22"/>
        </w:rPr>
        <w:t>i</w:t>
      </w:r>
      <w:r w:rsidRPr="00EF3FCE">
        <w:rPr>
          <w:sz w:val="22"/>
          <w:szCs w:val="22"/>
        </w:rPr>
        <w:t>ława Górna,</w:t>
      </w:r>
      <w:r w:rsidRPr="00EF3FCE">
        <w:rPr>
          <w:b/>
          <w:sz w:val="22"/>
          <w:szCs w:val="22"/>
        </w:rPr>
        <w:t xml:space="preserve"> </w:t>
      </w:r>
      <w:r w:rsidRPr="00EF3FCE">
        <w:rPr>
          <w:sz w:val="22"/>
          <w:szCs w:val="22"/>
        </w:rPr>
        <w:t>Lider</w:t>
      </w:r>
      <w:r>
        <w:rPr>
          <w:sz w:val="22"/>
          <w:szCs w:val="22"/>
        </w:rPr>
        <w:t>e</w:t>
      </w:r>
      <w:r w:rsidRPr="00EF3FCE">
        <w:rPr>
          <w:sz w:val="22"/>
          <w:szCs w:val="22"/>
        </w:rPr>
        <w:t>m projektu jest Gmina Miejska Dzierżoniów.</w:t>
      </w:r>
    </w:p>
    <w:p w:rsidR="00321683" w:rsidRPr="00EF3FCE" w:rsidRDefault="00EF3FCE" w:rsidP="00EF3FCE">
      <w:pPr>
        <w:ind w:left="1134" w:firstLine="0"/>
        <w:jc w:val="both"/>
        <w:rPr>
          <w:b/>
          <w:sz w:val="22"/>
          <w:szCs w:val="22"/>
        </w:rPr>
      </w:pPr>
      <w:r w:rsidRPr="00EF3FCE">
        <w:rPr>
          <w:sz w:val="22"/>
          <w:szCs w:val="22"/>
        </w:rPr>
        <w:t>Głównym celem projektu jest stworzenie i uruchomienie efektywnego mechanizmu  dł</w:t>
      </w:r>
      <w:r w:rsidRPr="00EF3FCE">
        <w:rPr>
          <w:sz w:val="22"/>
          <w:szCs w:val="22"/>
        </w:rPr>
        <w:t>u</w:t>
      </w:r>
      <w:r w:rsidRPr="00EF3FCE">
        <w:rPr>
          <w:sz w:val="22"/>
          <w:szCs w:val="22"/>
        </w:rPr>
        <w:t>gofalowej  współpracy w zakresie partnerskiego diagnozowania i rozwiązywania  pr</w:t>
      </w:r>
      <w:r w:rsidRPr="00EF3FCE">
        <w:rPr>
          <w:sz w:val="22"/>
          <w:szCs w:val="22"/>
        </w:rPr>
        <w:t>o</w:t>
      </w:r>
      <w:r w:rsidRPr="00EF3FCE">
        <w:rPr>
          <w:sz w:val="22"/>
          <w:szCs w:val="22"/>
        </w:rPr>
        <w:t>blemów całego obszaru funkcjonalnego, tj. Partnerstwa JST Powiatu Dzierżoniowskiego</w:t>
      </w:r>
    </w:p>
    <w:p w:rsidR="00EF3FCE" w:rsidRDefault="00EF3FCE" w:rsidP="00EF3FCE">
      <w:pPr>
        <w:ind w:left="425"/>
        <w:rPr>
          <w:sz w:val="22"/>
          <w:szCs w:val="22"/>
        </w:rPr>
      </w:pPr>
      <w:r>
        <w:rPr>
          <w:sz w:val="22"/>
          <w:szCs w:val="22"/>
        </w:rPr>
        <w:t>Realizacja projektu 2014-2015.</w:t>
      </w:r>
    </w:p>
    <w:p w:rsidR="00EF3FCE" w:rsidRPr="00EF3FCE" w:rsidRDefault="00EF3FCE" w:rsidP="00757918">
      <w:pPr>
        <w:ind w:left="425"/>
        <w:rPr>
          <w:sz w:val="22"/>
          <w:szCs w:val="22"/>
        </w:rPr>
      </w:pPr>
      <w:r w:rsidRPr="00EF3FCE">
        <w:rPr>
          <w:sz w:val="22"/>
          <w:szCs w:val="22"/>
        </w:rPr>
        <w:t xml:space="preserve">Łączne nakłady finansowe </w:t>
      </w:r>
      <w:r w:rsidR="00EC39CF">
        <w:rPr>
          <w:sz w:val="22"/>
          <w:szCs w:val="22"/>
        </w:rPr>
        <w:t>5</w:t>
      </w:r>
      <w:r w:rsidRPr="00EF3FCE">
        <w:rPr>
          <w:sz w:val="22"/>
          <w:szCs w:val="22"/>
        </w:rPr>
        <w:t xml:space="preserve"> </w:t>
      </w:r>
      <w:r w:rsidR="00EC39CF">
        <w:rPr>
          <w:sz w:val="22"/>
          <w:szCs w:val="22"/>
        </w:rPr>
        <w:t>0</w:t>
      </w:r>
      <w:r w:rsidRPr="00EF3FCE">
        <w:rPr>
          <w:sz w:val="22"/>
          <w:szCs w:val="22"/>
        </w:rPr>
        <w:t>81 zł, - limit zobowiązań: 2015 rok – 4 097 zł.</w:t>
      </w:r>
    </w:p>
    <w:p w:rsidR="006E0B88" w:rsidRDefault="006E0B88" w:rsidP="00757918">
      <w:pPr>
        <w:ind w:left="142"/>
        <w:rPr>
          <w:b/>
          <w:sz w:val="22"/>
          <w:szCs w:val="22"/>
        </w:rPr>
      </w:pPr>
    </w:p>
    <w:p w:rsidR="00757918" w:rsidRDefault="00321683" w:rsidP="00757918">
      <w:pPr>
        <w:ind w:left="142"/>
        <w:rPr>
          <w:b/>
          <w:sz w:val="22"/>
          <w:szCs w:val="22"/>
        </w:rPr>
      </w:pPr>
      <w:r w:rsidRPr="00EF3FCE">
        <w:rPr>
          <w:b/>
          <w:sz w:val="22"/>
          <w:szCs w:val="22"/>
        </w:rPr>
        <w:t>- wydatki majątkowe 1 </w:t>
      </w:r>
      <w:r w:rsidR="00EC39CF">
        <w:rPr>
          <w:b/>
          <w:sz w:val="22"/>
          <w:szCs w:val="22"/>
        </w:rPr>
        <w:t>280</w:t>
      </w:r>
      <w:r w:rsidRPr="00EF3FCE">
        <w:rPr>
          <w:b/>
          <w:sz w:val="22"/>
          <w:szCs w:val="22"/>
        </w:rPr>
        <w:t> 399 zł</w:t>
      </w:r>
    </w:p>
    <w:p w:rsidR="006E0B88" w:rsidRPr="00EF3FCE" w:rsidRDefault="006E0B88" w:rsidP="00757918">
      <w:pPr>
        <w:ind w:left="142"/>
        <w:rPr>
          <w:b/>
          <w:sz w:val="22"/>
          <w:szCs w:val="22"/>
        </w:rPr>
      </w:pPr>
    </w:p>
    <w:p w:rsidR="00561314" w:rsidRPr="008E0602" w:rsidRDefault="00561314" w:rsidP="00DD5F5B">
      <w:pPr>
        <w:pStyle w:val="Akapitzlist"/>
        <w:numPr>
          <w:ilvl w:val="0"/>
          <w:numId w:val="30"/>
        </w:numPr>
        <w:ind w:left="1134" w:hanging="283"/>
        <w:rPr>
          <w:b/>
          <w:bCs/>
          <w:sz w:val="22"/>
          <w:szCs w:val="22"/>
        </w:rPr>
      </w:pPr>
      <w:r w:rsidRPr="008E0602">
        <w:rPr>
          <w:b/>
          <w:bCs/>
          <w:sz w:val="22"/>
          <w:szCs w:val="22"/>
        </w:rPr>
        <w:t>Adaptacja Budynku w Piławie Górnej ul. Piastowska 69</w:t>
      </w:r>
      <w:r w:rsidR="0035232B" w:rsidRPr="008E0602">
        <w:rPr>
          <w:b/>
          <w:bCs/>
          <w:sz w:val="22"/>
          <w:szCs w:val="22"/>
        </w:rPr>
        <w:t xml:space="preserve"> </w:t>
      </w:r>
    </w:p>
    <w:p w:rsidR="0015373D" w:rsidRPr="006F08C5" w:rsidRDefault="006F08C5" w:rsidP="006F08C5">
      <w:pPr>
        <w:pStyle w:val="Akapitzlist"/>
        <w:ind w:left="1134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Zadanie inwestycyjne</w:t>
      </w:r>
      <w:r w:rsidR="00460D54" w:rsidRPr="008E0602">
        <w:rPr>
          <w:bCs/>
          <w:sz w:val="22"/>
          <w:szCs w:val="22"/>
        </w:rPr>
        <w:t>,</w:t>
      </w:r>
      <w:r w:rsidR="001E0C1C" w:rsidRPr="008E0602">
        <w:rPr>
          <w:bCs/>
          <w:sz w:val="22"/>
          <w:szCs w:val="22"/>
        </w:rPr>
        <w:t xml:space="preserve"> mające</w:t>
      </w:r>
      <w:r>
        <w:rPr>
          <w:bCs/>
          <w:sz w:val="22"/>
          <w:szCs w:val="22"/>
        </w:rPr>
        <w:t xml:space="preserve"> </w:t>
      </w:r>
      <w:r w:rsidR="001E0C1C" w:rsidRPr="008E0602">
        <w:rPr>
          <w:bCs/>
          <w:sz w:val="22"/>
          <w:szCs w:val="22"/>
        </w:rPr>
        <w:t>na celu adaptację budynku przy ul. Piastowskiej 69 w P</w:t>
      </w:r>
      <w:r w:rsidR="001E0C1C" w:rsidRPr="008E0602">
        <w:rPr>
          <w:bCs/>
          <w:sz w:val="22"/>
          <w:szCs w:val="22"/>
        </w:rPr>
        <w:t>i</w:t>
      </w:r>
      <w:r w:rsidR="001E0C1C" w:rsidRPr="008E0602">
        <w:rPr>
          <w:bCs/>
          <w:sz w:val="22"/>
          <w:szCs w:val="22"/>
        </w:rPr>
        <w:t xml:space="preserve">ławie Górnej dla </w:t>
      </w:r>
      <w:r w:rsidR="00561314" w:rsidRPr="008E0602">
        <w:rPr>
          <w:bCs/>
          <w:sz w:val="22"/>
          <w:szCs w:val="22"/>
        </w:rPr>
        <w:t>potrze</w:t>
      </w:r>
      <w:r w:rsidR="001E0C1C" w:rsidRPr="008E0602">
        <w:rPr>
          <w:bCs/>
          <w:sz w:val="22"/>
          <w:szCs w:val="22"/>
        </w:rPr>
        <w:t>b</w:t>
      </w:r>
      <w:r w:rsidR="00561314" w:rsidRPr="008E0602">
        <w:rPr>
          <w:bCs/>
          <w:sz w:val="22"/>
          <w:szCs w:val="22"/>
        </w:rPr>
        <w:t xml:space="preserve"> Urzę</w:t>
      </w:r>
      <w:r w:rsidR="001E0C1C" w:rsidRPr="008E0602">
        <w:rPr>
          <w:bCs/>
          <w:sz w:val="22"/>
          <w:szCs w:val="22"/>
        </w:rPr>
        <w:t>du M</w:t>
      </w:r>
      <w:r w:rsidR="00561314" w:rsidRPr="008E0602">
        <w:rPr>
          <w:bCs/>
          <w:sz w:val="22"/>
          <w:szCs w:val="22"/>
        </w:rPr>
        <w:t>iasta</w:t>
      </w:r>
      <w:r w:rsidR="00DF648F" w:rsidRPr="008E0602">
        <w:rPr>
          <w:bCs/>
          <w:sz w:val="22"/>
          <w:szCs w:val="22"/>
        </w:rPr>
        <w:t xml:space="preserve"> zostało rozpoczęte w 2011 roku wykonaniem dokumentacji projektowej</w:t>
      </w:r>
      <w:r w:rsidR="00321683" w:rsidRPr="008E0602">
        <w:rPr>
          <w:bCs/>
          <w:sz w:val="22"/>
          <w:szCs w:val="22"/>
        </w:rPr>
        <w:t xml:space="preserve">.  </w:t>
      </w:r>
      <w:r w:rsidR="009930B5">
        <w:rPr>
          <w:bCs/>
          <w:sz w:val="22"/>
          <w:szCs w:val="22"/>
        </w:rPr>
        <w:t>W</w:t>
      </w:r>
      <w:r w:rsidR="006B1EB7" w:rsidRPr="008E0602">
        <w:rPr>
          <w:bCs/>
          <w:sz w:val="22"/>
          <w:szCs w:val="22"/>
        </w:rPr>
        <w:t xml:space="preserve"> roku 2012 </w:t>
      </w:r>
      <w:r w:rsidR="00321683" w:rsidRPr="008E0602">
        <w:rPr>
          <w:bCs/>
          <w:sz w:val="22"/>
          <w:szCs w:val="22"/>
        </w:rPr>
        <w:t>przystąpiono do realizacji  pierwszego etapu inwestycji obejmującej wykonanie części nadbudowanej budynku w stanie surowym</w:t>
      </w:r>
      <w:r>
        <w:rPr>
          <w:bCs/>
          <w:sz w:val="22"/>
          <w:szCs w:val="22"/>
        </w:rPr>
        <w:t xml:space="preserve"> z</w:t>
      </w:r>
      <w:r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mkniętym. Kontynuacja zadania </w:t>
      </w:r>
      <w:r>
        <w:rPr>
          <w:sz w:val="22"/>
          <w:szCs w:val="22"/>
        </w:rPr>
        <w:t xml:space="preserve">w latach 2013-2014 w zakresie </w:t>
      </w:r>
      <w:r w:rsidR="00321683" w:rsidRPr="008E0602">
        <w:rPr>
          <w:sz w:val="22"/>
          <w:szCs w:val="22"/>
        </w:rPr>
        <w:t>robót budowlanych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oraz nadzorem autorskim i budowlanym nad nimi. </w:t>
      </w:r>
      <w:r w:rsidR="0015373D">
        <w:rPr>
          <w:sz w:val="22"/>
          <w:szCs w:val="22"/>
        </w:rPr>
        <w:t>Pozostały do wykonania z</w:t>
      </w:r>
      <w:r w:rsidR="008E0602" w:rsidRPr="008E0602">
        <w:rPr>
          <w:sz w:val="22"/>
          <w:szCs w:val="22"/>
        </w:rPr>
        <w:t>akres zad</w:t>
      </w:r>
      <w:r w:rsidR="008E0602" w:rsidRPr="008E0602">
        <w:rPr>
          <w:sz w:val="22"/>
          <w:szCs w:val="22"/>
        </w:rPr>
        <w:t>a</w:t>
      </w:r>
      <w:r w:rsidR="008E0602" w:rsidRPr="008E0602">
        <w:rPr>
          <w:sz w:val="22"/>
          <w:szCs w:val="22"/>
        </w:rPr>
        <w:t>nia</w:t>
      </w:r>
      <w:r>
        <w:rPr>
          <w:sz w:val="22"/>
          <w:szCs w:val="22"/>
        </w:rPr>
        <w:t>,</w:t>
      </w:r>
      <w:r w:rsidR="008E0602" w:rsidRPr="008E0602">
        <w:rPr>
          <w:sz w:val="22"/>
          <w:szCs w:val="22"/>
        </w:rPr>
        <w:t xml:space="preserve"> obejmu</w:t>
      </w:r>
      <w:r>
        <w:rPr>
          <w:sz w:val="22"/>
          <w:szCs w:val="22"/>
        </w:rPr>
        <w:t>jący</w:t>
      </w:r>
      <w:r w:rsidR="008E0602" w:rsidRPr="008E0602">
        <w:rPr>
          <w:sz w:val="22"/>
          <w:szCs w:val="22"/>
        </w:rPr>
        <w:t xml:space="preserve"> </w:t>
      </w:r>
      <w:r w:rsidR="002F508F">
        <w:rPr>
          <w:sz w:val="22"/>
          <w:szCs w:val="22"/>
        </w:rPr>
        <w:t xml:space="preserve">m.in. </w:t>
      </w:r>
      <w:r w:rsidR="008E0602" w:rsidRPr="008E0602">
        <w:rPr>
          <w:sz w:val="22"/>
          <w:szCs w:val="22"/>
        </w:rPr>
        <w:t>roboty wykończeniowe wewnątrz bu</w:t>
      </w:r>
      <w:r>
        <w:rPr>
          <w:sz w:val="22"/>
          <w:szCs w:val="22"/>
        </w:rPr>
        <w:t>dynku oraz na zewnątrz zwi</w:t>
      </w:r>
      <w:r>
        <w:rPr>
          <w:sz w:val="22"/>
          <w:szCs w:val="22"/>
        </w:rPr>
        <w:t>ą</w:t>
      </w:r>
      <w:r>
        <w:rPr>
          <w:sz w:val="22"/>
          <w:szCs w:val="22"/>
        </w:rPr>
        <w:t>zany</w:t>
      </w:r>
      <w:r w:rsidR="008E0602" w:rsidRPr="008E0602">
        <w:rPr>
          <w:sz w:val="22"/>
          <w:szCs w:val="22"/>
        </w:rPr>
        <w:t xml:space="preserve"> z elewacją i częścio</w:t>
      </w:r>
      <w:r>
        <w:rPr>
          <w:sz w:val="22"/>
          <w:szCs w:val="22"/>
        </w:rPr>
        <w:t>wym</w:t>
      </w:r>
      <w:r w:rsidR="008E0602" w:rsidRPr="008E0602">
        <w:rPr>
          <w:sz w:val="22"/>
          <w:szCs w:val="22"/>
        </w:rPr>
        <w:t xml:space="preserve"> zagospo</w:t>
      </w:r>
      <w:r>
        <w:rPr>
          <w:sz w:val="22"/>
          <w:szCs w:val="22"/>
        </w:rPr>
        <w:t>darowanie</w:t>
      </w:r>
      <w:r w:rsidR="002F508F">
        <w:rPr>
          <w:sz w:val="22"/>
          <w:szCs w:val="22"/>
        </w:rPr>
        <w:t>m</w:t>
      </w:r>
      <w:r>
        <w:rPr>
          <w:sz w:val="22"/>
          <w:szCs w:val="22"/>
        </w:rPr>
        <w:t xml:space="preserve"> terenu wokół budynku </w:t>
      </w:r>
      <w:r w:rsidR="008E0602" w:rsidRPr="008E0602">
        <w:rPr>
          <w:sz w:val="22"/>
          <w:szCs w:val="22"/>
        </w:rPr>
        <w:t xml:space="preserve"> oraz uzysk</w:t>
      </w:r>
      <w:r w:rsidR="008E0602" w:rsidRPr="008E0602">
        <w:rPr>
          <w:sz w:val="22"/>
          <w:szCs w:val="22"/>
        </w:rPr>
        <w:t>a</w:t>
      </w:r>
      <w:r w:rsidR="008E0602" w:rsidRPr="008E0602">
        <w:rPr>
          <w:sz w:val="22"/>
          <w:szCs w:val="22"/>
        </w:rPr>
        <w:t>nie</w:t>
      </w:r>
      <w:r w:rsidR="002F508F">
        <w:rPr>
          <w:sz w:val="22"/>
          <w:szCs w:val="22"/>
        </w:rPr>
        <w:t>m</w:t>
      </w:r>
      <w:r w:rsidR="008E0602" w:rsidRPr="008E0602">
        <w:rPr>
          <w:sz w:val="22"/>
          <w:szCs w:val="22"/>
        </w:rPr>
        <w:t xml:space="preserve"> pozwolenia na użyt</w:t>
      </w:r>
      <w:r>
        <w:rPr>
          <w:sz w:val="22"/>
          <w:szCs w:val="22"/>
        </w:rPr>
        <w:t>kowanie</w:t>
      </w:r>
      <w:r w:rsidR="002F508F">
        <w:rPr>
          <w:sz w:val="22"/>
          <w:szCs w:val="22"/>
        </w:rPr>
        <w:t>,</w:t>
      </w:r>
      <w:r>
        <w:rPr>
          <w:sz w:val="22"/>
          <w:szCs w:val="22"/>
        </w:rPr>
        <w:t xml:space="preserve"> planuje się do wykonania </w:t>
      </w:r>
      <w:r w:rsidR="008E0602" w:rsidRPr="008E0602">
        <w:rPr>
          <w:sz w:val="22"/>
          <w:szCs w:val="22"/>
        </w:rPr>
        <w:t>przełomie 2014 – 2015 roku.</w:t>
      </w:r>
    </w:p>
    <w:p w:rsidR="008E0602" w:rsidRPr="0015373D" w:rsidRDefault="008E0602" w:rsidP="0015373D">
      <w:pPr>
        <w:ind w:left="1134" w:firstLine="0"/>
        <w:jc w:val="both"/>
        <w:rPr>
          <w:sz w:val="22"/>
          <w:szCs w:val="22"/>
        </w:rPr>
      </w:pPr>
      <w:r w:rsidRPr="008E0602">
        <w:rPr>
          <w:sz w:val="22"/>
          <w:szCs w:val="22"/>
        </w:rPr>
        <w:t>Łączne nakłady finansowe 2 198 057,59 zł,</w:t>
      </w:r>
      <w:r w:rsidR="0015373D">
        <w:rPr>
          <w:sz w:val="22"/>
          <w:szCs w:val="22"/>
        </w:rPr>
        <w:t xml:space="preserve"> - limit zobowiązań:</w:t>
      </w:r>
      <w:r w:rsidRPr="008E0602">
        <w:rPr>
          <w:sz w:val="22"/>
          <w:szCs w:val="22"/>
        </w:rPr>
        <w:t xml:space="preserve"> 2015 rok – 850 000 zł.</w:t>
      </w:r>
    </w:p>
    <w:p w:rsidR="006B1EB7" w:rsidRPr="008E0602" w:rsidRDefault="006B1EB7" w:rsidP="00FB4CAB">
      <w:pPr>
        <w:pStyle w:val="Akapitzlist"/>
        <w:keepNext/>
        <w:ind w:left="851" w:hanging="283"/>
        <w:jc w:val="both"/>
        <w:rPr>
          <w:sz w:val="22"/>
          <w:szCs w:val="22"/>
        </w:rPr>
      </w:pPr>
    </w:p>
    <w:p w:rsidR="00FB4CAB" w:rsidRPr="00FB4CAB" w:rsidRDefault="00FB4CAB" w:rsidP="00DD5F5B">
      <w:pPr>
        <w:pStyle w:val="Akapitzlist"/>
        <w:keepNext/>
        <w:ind w:left="1134" w:hanging="283"/>
        <w:jc w:val="both"/>
        <w:rPr>
          <w:b/>
          <w:sz w:val="22"/>
          <w:szCs w:val="22"/>
        </w:rPr>
      </w:pPr>
      <w:r w:rsidRPr="00FB4CA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6E0B88">
        <w:rPr>
          <w:sz w:val="22"/>
          <w:szCs w:val="22"/>
        </w:rPr>
        <w:t xml:space="preserve"> </w:t>
      </w:r>
      <w:r w:rsidRPr="00FB4CAB">
        <w:rPr>
          <w:b/>
          <w:sz w:val="22"/>
          <w:szCs w:val="22"/>
        </w:rPr>
        <w:t>Utworzenie Punktu Selektywnej Zbiórki Odpadów Komunalnych przy ul. Chrobr</w:t>
      </w:r>
      <w:r w:rsidRPr="00FB4CAB">
        <w:rPr>
          <w:b/>
          <w:sz w:val="22"/>
          <w:szCs w:val="22"/>
        </w:rPr>
        <w:t>e</w:t>
      </w:r>
      <w:r w:rsidRPr="00FB4CAB">
        <w:rPr>
          <w:b/>
          <w:sz w:val="22"/>
          <w:szCs w:val="22"/>
        </w:rPr>
        <w:t>go w Piławie Górnej</w:t>
      </w:r>
    </w:p>
    <w:p w:rsidR="00FB4CAB" w:rsidRDefault="006E0B88" w:rsidP="006E0B88">
      <w:pPr>
        <w:ind w:left="1072" w:firstLine="62"/>
        <w:jc w:val="both"/>
        <w:rPr>
          <w:sz w:val="22"/>
          <w:szCs w:val="22"/>
        </w:rPr>
      </w:pPr>
      <w:r>
        <w:rPr>
          <w:sz w:val="22"/>
          <w:szCs w:val="22"/>
        </w:rPr>
        <w:t>W roku 2014 wykonano dokumentację</w:t>
      </w:r>
      <w:r w:rsidRPr="006E0B88">
        <w:rPr>
          <w:sz w:val="22"/>
          <w:szCs w:val="22"/>
        </w:rPr>
        <w:t xml:space="preserve"> projektowej Punktu Selektywnej Zbiórki Odp</w:t>
      </w:r>
      <w:r w:rsidRPr="006E0B88">
        <w:rPr>
          <w:sz w:val="22"/>
          <w:szCs w:val="22"/>
        </w:rPr>
        <w:t>a</w:t>
      </w:r>
      <w:r w:rsidRPr="006E0B88">
        <w:rPr>
          <w:sz w:val="22"/>
          <w:szCs w:val="22"/>
        </w:rPr>
        <w:t>dów Komunalnych przy ul. Chrobrego w Piławie Górnej, działki 463/4, 467 – Obręb K</w:t>
      </w:r>
      <w:r w:rsidRPr="006E0B88">
        <w:rPr>
          <w:sz w:val="22"/>
          <w:szCs w:val="22"/>
        </w:rPr>
        <w:t>o</w:t>
      </w:r>
      <w:r w:rsidRPr="006E0B88">
        <w:rPr>
          <w:sz w:val="22"/>
          <w:szCs w:val="22"/>
        </w:rPr>
        <w:t>śmin</w:t>
      </w:r>
      <w:r>
        <w:rPr>
          <w:sz w:val="22"/>
          <w:szCs w:val="22"/>
        </w:rPr>
        <w:t xml:space="preserve">. Na 2015 rok </w:t>
      </w:r>
      <w:r w:rsidRPr="007E3715">
        <w:rPr>
          <w:sz w:val="22"/>
          <w:szCs w:val="22"/>
        </w:rPr>
        <w:t xml:space="preserve">zaplanowano </w:t>
      </w:r>
      <w:r>
        <w:rPr>
          <w:sz w:val="22"/>
          <w:szCs w:val="22"/>
        </w:rPr>
        <w:t xml:space="preserve">50 000 zł na wykonanie </w:t>
      </w:r>
      <w:r w:rsidRPr="007E3715">
        <w:rPr>
          <w:sz w:val="22"/>
          <w:szCs w:val="22"/>
        </w:rPr>
        <w:t>przyłącza energetyczne</w:t>
      </w:r>
      <w:r>
        <w:rPr>
          <w:sz w:val="22"/>
          <w:szCs w:val="22"/>
        </w:rPr>
        <w:t xml:space="preserve">go. </w:t>
      </w:r>
      <w:r>
        <w:rPr>
          <w:sz w:val="22"/>
          <w:szCs w:val="22"/>
        </w:rPr>
        <w:br/>
      </w:r>
      <w:r w:rsidR="006B1EB7">
        <w:rPr>
          <w:sz w:val="22"/>
          <w:szCs w:val="22"/>
        </w:rPr>
        <w:t>Łączne nakłady finansowe 21</w:t>
      </w:r>
      <w:r w:rsidR="00860D83">
        <w:rPr>
          <w:sz w:val="22"/>
          <w:szCs w:val="22"/>
        </w:rPr>
        <w:t xml:space="preserve">5 000 zł, </w:t>
      </w:r>
      <w:r w:rsidR="00FB4CAB">
        <w:rPr>
          <w:sz w:val="22"/>
          <w:szCs w:val="22"/>
        </w:rPr>
        <w:t>- limit zo</w:t>
      </w:r>
      <w:r w:rsidR="002F508F">
        <w:rPr>
          <w:sz w:val="22"/>
          <w:szCs w:val="22"/>
        </w:rPr>
        <w:t>bowiązań: 2015</w:t>
      </w:r>
      <w:r w:rsidR="006B1EB7">
        <w:rPr>
          <w:sz w:val="22"/>
          <w:szCs w:val="22"/>
        </w:rPr>
        <w:t xml:space="preserve"> rok –   </w:t>
      </w:r>
      <w:r w:rsidR="00FB4CAB">
        <w:rPr>
          <w:sz w:val="22"/>
          <w:szCs w:val="22"/>
        </w:rPr>
        <w:t>5</w:t>
      </w:r>
      <w:r w:rsidR="006B1EB7">
        <w:rPr>
          <w:sz w:val="22"/>
          <w:szCs w:val="22"/>
        </w:rPr>
        <w:t>0</w:t>
      </w:r>
      <w:r w:rsidR="00FB4CAB">
        <w:rPr>
          <w:sz w:val="22"/>
          <w:szCs w:val="22"/>
        </w:rPr>
        <w:t> 000 zł</w:t>
      </w:r>
      <w:r w:rsidR="00860D83">
        <w:rPr>
          <w:sz w:val="22"/>
          <w:szCs w:val="22"/>
        </w:rPr>
        <w:t xml:space="preserve">, </w:t>
      </w:r>
      <w:r w:rsidR="00FB4CAB" w:rsidRPr="00860D83">
        <w:rPr>
          <w:sz w:val="22"/>
          <w:szCs w:val="22"/>
        </w:rPr>
        <w:t xml:space="preserve">- limit </w:t>
      </w:r>
      <w:r w:rsidR="006B1EB7">
        <w:rPr>
          <w:sz w:val="22"/>
          <w:szCs w:val="22"/>
        </w:rPr>
        <w:t>z</w:t>
      </w:r>
      <w:r w:rsidR="002F508F">
        <w:rPr>
          <w:sz w:val="22"/>
          <w:szCs w:val="22"/>
        </w:rPr>
        <w:t>obowiązań: 2016</w:t>
      </w:r>
      <w:r w:rsidR="006B1EB7">
        <w:rPr>
          <w:sz w:val="22"/>
          <w:szCs w:val="22"/>
        </w:rPr>
        <w:t xml:space="preserve"> rok – 15</w:t>
      </w:r>
      <w:r w:rsidR="00FB4CAB" w:rsidRPr="00860D83">
        <w:rPr>
          <w:sz w:val="22"/>
          <w:szCs w:val="22"/>
        </w:rPr>
        <w:t>0 000 zł</w:t>
      </w:r>
    </w:p>
    <w:p w:rsidR="00860D83" w:rsidRPr="00860D83" w:rsidRDefault="00860D83" w:rsidP="00860D83">
      <w:pPr>
        <w:pStyle w:val="Akapitzlist"/>
        <w:keepNext/>
        <w:ind w:left="993" w:firstLine="0"/>
        <w:jc w:val="both"/>
        <w:rPr>
          <w:sz w:val="22"/>
          <w:szCs w:val="22"/>
        </w:rPr>
      </w:pPr>
    </w:p>
    <w:p w:rsidR="002256FE" w:rsidRPr="0015373D" w:rsidRDefault="002256FE" w:rsidP="00DD5F5B">
      <w:pPr>
        <w:pStyle w:val="Akapitzlist"/>
        <w:keepNext/>
        <w:ind w:left="1134" w:hanging="283"/>
        <w:jc w:val="both"/>
        <w:rPr>
          <w:b/>
          <w:sz w:val="22"/>
          <w:szCs w:val="22"/>
        </w:rPr>
      </w:pPr>
      <w:r w:rsidRPr="00860D83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5373D">
        <w:rPr>
          <w:b/>
          <w:sz w:val="22"/>
          <w:szCs w:val="22"/>
        </w:rPr>
        <w:t>Utworzenie ple</w:t>
      </w:r>
      <w:r w:rsidR="008E0602" w:rsidRPr="0015373D">
        <w:rPr>
          <w:b/>
          <w:sz w:val="22"/>
          <w:szCs w:val="22"/>
        </w:rPr>
        <w:t>nerowego centrum rekreacji w Pił</w:t>
      </w:r>
      <w:r w:rsidRPr="0015373D">
        <w:rPr>
          <w:b/>
          <w:sz w:val="22"/>
          <w:szCs w:val="22"/>
        </w:rPr>
        <w:t>awie Górnej</w:t>
      </w:r>
    </w:p>
    <w:p w:rsidR="00757918" w:rsidRDefault="0015373D" w:rsidP="00757918">
      <w:pPr>
        <w:ind w:left="1134" w:firstLine="0"/>
        <w:jc w:val="both"/>
        <w:rPr>
          <w:sz w:val="22"/>
          <w:szCs w:val="22"/>
        </w:rPr>
      </w:pPr>
      <w:r w:rsidRPr="0015373D">
        <w:rPr>
          <w:sz w:val="22"/>
          <w:szCs w:val="22"/>
        </w:rPr>
        <w:t>W roku 2013 wykonano</w:t>
      </w:r>
      <w:r w:rsidR="003B1DC1" w:rsidRPr="0015373D">
        <w:rPr>
          <w:sz w:val="22"/>
          <w:szCs w:val="22"/>
        </w:rPr>
        <w:t xml:space="preserve"> </w:t>
      </w:r>
      <w:r w:rsidRPr="0015373D">
        <w:rPr>
          <w:sz w:val="22"/>
          <w:szCs w:val="22"/>
        </w:rPr>
        <w:t xml:space="preserve">dokumentację projektową. </w:t>
      </w:r>
      <w:r w:rsidR="003B1DC1" w:rsidRPr="0015373D">
        <w:rPr>
          <w:sz w:val="22"/>
          <w:szCs w:val="22"/>
        </w:rPr>
        <w:t xml:space="preserve">W 2014 roku zaplanowano wydatki związane z wykonywaniem robót budowlanych, sprawowaniem nadzoru </w:t>
      </w:r>
      <w:r w:rsidR="00757918" w:rsidRPr="0015373D">
        <w:rPr>
          <w:sz w:val="22"/>
          <w:szCs w:val="22"/>
        </w:rPr>
        <w:t>inwestorskie</w:t>
      </w:r>
      <w:r w:rsidR="00757918">
        <w:rPr>
          <w:sz w:val="22"/>
          <w:szCs w:val="22"/>
        </w:rPr>
        <w:t>go</w:t>
      </w:r>
      <w:r w:rsidR="00757918" w:rsidRPr="0015373D">
        <w:rPr>
          <w:sz w:val="22"/>
          <w:szCs w:val="22"/>
        </w:rPr>
        <w:t xml:space="preserve"> etap</w:t>
      </w:r>
      <w:r w:rsidR="003B1DC1" w:rsidRPr="0015373D">
        <w:rPr>
          <w:sz w:val="22"/>
          <w:szCs w:val="22"/>
        </w:rPr>
        <w:t xml:space="preserve"> I </w:t>
      </w:r>
      <w:r>
        <w:rPr>
          <w:sz w:val="22"/>
          <w:szCs w:val="22"/>
        </w:rPr>
        <w:t>obejmował</w:t>
      </w:r>
      <w:r w:rsidR="003B1DC1" w:rsidRPr="0015373D">
        <w:rPr>
          <w:sz w:val="22"/>
          <w:szCs w:val="22"/>
        </w:rPr>
        <w:t xml:space="preserve"> budowę w szczególności: siłowni, placu zabaw, od</w:t>
      </w:r>
      <w:r>
        <w:rPr>
          <w:sz w:val="22"/>
          <w:szCs w:val="22"/>
        </w:rPr>
        <w:t xml:space="preserve">wodnienia, instalacji </w:t>
      </w:r>
      <w:r w:rsidR="003B1DC1" w:rsidRPr="0015373D">
        <w:rPr>
          <w:sz w:val="22"/>
          <w:szCs w:val="22"/>
        </w:rPr>
        <w:t>elektrycznej</w:t>
      </w:r>
      <w:r>
        <w:rPr>
          <w:sz w:val="22"/>
          <w:szCs w:val="22"/>
        </w:rPr>
        <w:t xml:space="preserve">. </w:t>
      </w:r>
      <w:r w:rsidRPr="0015373D">
        <w:rPr>
          <w:sz w:val="22"/>
          <w:szCs w:val="22"/>
        </w:rPr>
        <w:t xml:space="preserve">W roku 2015 wykonany zostanie </w:t>
      </w:r>
      <w:r w:rsidRPr="0015373D">
        <w:rPr>
          <w:bCs/>
          <w:sz w:val="22"/>
          <w:szCs w:val="22"/>
        </w:rPr>
        <w:t>Et</w:t>
      </w:r>
      <w:r>
        <w:rPr>
          <w:bCs/>
          <w:sz w:val="22"/>
          <w:szCs w:val="22"/>
        </w:rPr>
        <w:t>ap II zadania obejmujący m.in. b</w:t>
      </w:r>
      <w:r w:rsidRPr="0015373D">
        <w:rPr>
          <w:bCs/>
          <w:sz w:val="22"/>
          <w:szCs w:val="22"/>
        </w:rPr>
        <w:t xml:space="preserve">udowę skateparku i </w:t>
      </w:r>
      <w:r w:rsidRPr="0015373D">
        <w:rPr>
          <w:sz w:val="22"/>
          <w:szCs w:val="22"/>
        </w:rPr>
        <w:t>uzyskanie ostatecznej decyzji na o pozwoleniu na użytkowanie obiektu.</w:t>
      </w:r>
      <w:r w:rsidR="00757918" w:rsidRPr="00757918">
        <w:rPr>
          <w:sz w:val="22"/>
          <w:szCs w:val="22"/>
        </w:rPr>
        <w:t xml:space="preserve"> </w:t>
      </w:r>
      <w:r w:rsidR="00757918">
        <w:rPr>
          <w:sz w:val="22"/>
          <w:szCs w:val="22"/>
        </w:rPr>
        <w:t xml:space="preserve">Łączne nakłady finansowe </w:t>
      </w:r>
      <w:r w:rsidR="00757918" w:rsidRPr="0015373D">
        <w:rPr>
          <w:sz w:val="22"/>
          <w:szCs w:val="22"/>
        </w:rPr>
        <w:t xml:space="preserve">601 800 zł, - limit zobowiązań: - limit zobowiązań: 2015 rok </w:t>
      </w:r>
      <w:r w:rsidR="00757918">
        <w:rPr>
          <w:sz w:val="22"/>
          <w:szCs w:val="22"/>
        </w:rPr>
        <w:br/>
      </w:r>
      <w:r w:rsidR="00757918" w:rsidRPr="0015373D">
        <w:rPr>
          <w:sz w:val="22"/>
          <w:szCs w:val="22"/>
        </w:rPr>
        <w:t>– 315 000 zł</w:t>
      </w:r>
      <w:r w:rsidR="00757918">
        <w:rPr>
          <w:sz w:val="22"/>
          <w:szCs w:val="22"/>
        </w:rPr>
        <w:t>.</w:t>
      </w:r>
    </w:p>
    <w:p w:rsidR="006E0B88" w:rsidRDefault="006E0B88" w:rsidP="00416650">
      <w:pPr>
        <w:ind w:firstLine="0"/>
        <w:jc w:val="both"/>
        <w:rPr>
          <w:sz w:val="22"/>
          <w:szCs w:val="22"/>
        </w:rPr>
      </w:pPr>
    </w:p>
    <w:p w:rsidR="006E0B88" w:rsidRDefault="0015373D" w:rsidP="006E0B88">
      <w:pPr>
        <w:tabs>
          <w:tab w:val="left" w:pos="0"/>
        </w:tabs>
        <w:ind w:left="993" w:hanging="142"/>
        <w:jc w:val="both"/>
        <w:rPr>
          <w:b/>
          <w:sz w:val="22"/>
          <w:szCs w:val="22"/>
        </w:rPr>
      </w:pPr>
      <w:r w:rsidRPr="00757918">
        <w:rPr>
          <w:b/>
          <w:sz w:val="22"/>
          <w:szCs w:val="22"/>
        </w:rPr>
        <w:t>4.</w:t>
      </w:r>
      <w:r w:rsidR="006E0B88">
        <w:rPr>
          <w:sz w:val="22"/>
          <w:szCs w:val="22"/>
        </w:rPr>
        <w:t xml:space="preserve">  </w:t>
      </w:r>
      <w:r w:rsidRPr="00757918">
        <w:rPr>
          <w:b/>
          <w:sz w:val="22"/>
          <w:szCs w:val="22"/>
        </w:rPr>
        <w:t>Rekultywacja gruntu na działce 811</w:t>
      </w:r>
      <w:r w:rsidR="00AB2417" w:rsidRPr="00757918">
        <w:rPr>
          <w:b/>
          <w:sz w:val="22"/>
          <w:szCs w:val="22"/>
        </w:rPr>
        <w:t xml:space="preserve">położonej </w:t>
      </w:r>
      <w:r w:rsidRPr="00757918">
        <w:rPr>
          <w:b/>
          <w:sz w:val="22"/>
          <w:szCs w:val="22"/>
        </w:rPr>
        <w:t>w Piławie Górnej</w:t>
      </w:r>
      <w:r w:rsidR="00AB2417" w:rsidRPr="00757918">
        <w:rPr>
          <w:b/>
          <w:sz w:val="22"/>
          <w:szCs w:val="22"/>
        </w:rPr>
        <w:t xml:space="preserve"> Obręb Południe </w:t>
      </w:r>
    </w:p>
    <w:p w:rsidR="002256FE" w:rsidRDefault="006E0B88" w:rsidP="006E0B88">
      <w:pPr>
        <w:tabs>
          <w:tab w:val="left" w:pos="0"/>
        </w:tabs>
        <w:ind w:left="1134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B2417" w:rsidRPr="00757918">
        <w:rPr>
          <w:sz w:val="22"/>
          <w:szCs w:val="22"/>
        </w:rPr>
        <w:t>W roku 2014 sporządzono projekt dokumentacji na zadanie: „Rekultywacja gruntu</w:t>
      </w:r>
      <w:r w:rsidR="00AB2417" w:rsidRPr="00757918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AB2417" w:rsidRPr="00757918">
        <w:rPr>
          <w:sz w:val="22"/>
          <w:szCs w:val="22"/>
        </w:rPr>
        <w:t>na działce 811 o łącznej powierzchni 1,6907 ha położonej w Piławie Górnej obręb Poł</w:t>
      </w:r>
      <w:r w:rsidR="00AB2417" w:rsidRPr="00757918">
        <w:rPr>
          <w:sz w:val="22"/>
          <w:szCs w:val="22"/>
        </w:rPr>
        <w:t>u</w:t>
      </w:r>
      <w:r w:rsidR="00AB2417" w:rsidRPr="00757918">
        <w:rPr>
          <w:sz w:val="22"/>
          <w:szCs w:val="22"/>
        </w:rPr>
        <w:t xml:space="preserve">dnie”. W 2015 roku planuje się przeprowadzenie zabiegów technicznych polegających </w:t>
      </w:r>
      <w:r w:rsidR="00AB2417" w:rsidRPr="00757918">
        <w:rPr>
          <w:sz w:val="22"/>
          <w:szCs w:val="22"/>
        </w:rPr>
        <w:br/>
        <w:t>na uformowaniu kwatery na powierzchni rekultywacyjnej oraz utwardzeniu drogi prz</w:t>
      </w:r>
      <w:r w:rsidR="00AB2417" w:rsidRPr="00757918">
        <w:rPr>
          <w:sz w:val="22"/>
          <w:szCs w:val="22"/>
        </w:rPr>
        <w:t>e</w:t>
      </w:r>
      <w:r w:rsidR="00AB2417" w:rsidRPr="00757918">
        <w:rPr>
          <w:sz w:val="22"/>
          <w:szCs w:val="22"/>
        </w:rPr>
        <w:t>jazd</w:t>
      </w:r>
      <w:r w:rsidR="00EC39CF">
        <w:rPr>
          <w:sz w:val="22"/>
          <w:szCs w:val="22"/>
        </w:rPr>
        <w:t>owej. Łączne nakłady finansowe 8</w:t>
      </w:r>
      <w:r w:rsidR="00AB2417" w:rsidRPr="00757918">
        <w:rPr>
          <w:sz w:val="22"/>
          <w:szCs w:val="22"/>
        </w:rPr>
        <w:t>0 000 zł,</w:t>
      </w:r>
      <w:r w:rsidR="00EC39CF">
        <w:rPr>
          <w:sz w:val="22"/>
          <w:szCs w:val="22"/>
        </w:rPr>
        <w:t xml:space="preserve"> limit zobowiązań: 2015 rok </w:t>
      </w:r>
      <w:r w:rsidR="00EC39CF">
        <w:rPr>
          <w:sz w:val="22"/>
          <w:szCs w:val="22"/>
        </w:rPr>
        <w:br/>
        <w:t>– 5</w:t>
      </w:r>
      <w:r w:rsidR="00AB2417" w:rsidRPr="00757918">
        <w:rPr>
          <w:sz w:val="22"/>
          <w:szCs w:val="22"/>
        </w:rPr>
        <w:t>0 000 zł.</w:t>
      </w:r>
    </w:p>
    <w:p w:rsidR="00B7412C" w:rsidRPr="001D5840" w:rsidRDefault="00B7412C" w:rsidP="00757918">
      <w:pPr>
        <w:ind w:left="1134" w:firstLine="0"/>
        <w:jc w:val="both"/>
        <w:rPr>
          <w:sz w:val="22"/>
          <w:szCs w:val="22"/>
        </w:rPr>
      </w:pPr>
    </w:p>
    <w:p w:rsidR="00AB2417" w:rsidRPr="00AB2417" w:rsidRDefault="00AB2417" w:rsidP="00AB2417">
      <w:pPr>
        <w:pStyle w:val="Akapitzlist"/>
        <w:keepNext/>
        <w:ind w:left="1134" w:hanging="283"/>
        <w:jc w:val="both"/>
        <w:rPr>
          <w:b/>
          <w:sz w:val="22"/>
          <w:szCs w:val="22"/>
        </w:rPr>
      </w:pPr>
      <w:r w:rsidRPr="00AB2417">
        <w:rPr>
          <w:b/>
          <w:sz w:val="22"/>
          <w:szCs w:val="22"/>
        </w:rPr>
        <w:t xml:space="preserve">5. </w:t>
      </w:r>
      <w:r w:rsidR="00321683" w:rsidRPr="00AB2417">
        <w:rPr>
          <w:b/>
          <w:sz w:val="22"/>
          <w:szCs w:val="22"/>
        </w:rPr>
        <w:t>Innowacyjne E-Usługi świadczone za pomocą Zintegrowanego Systemu Inform</w:t>
      </w:r>
      <w:r w:rsidR="00321683" w:rsidRPr="00AB2417">
        <w:rPr>
          <w:b/>
          <w:sz w:val="22"/>
          <w:szCs w:val="22"/>
        </w:rPr>
        <w:t>a</w:t>
      </w:r>
      <w:r w:rsidR="00321683" w:rsidRPr="00AB2417">
        <w:rPr>
          <w:b/>
          <w:sz w:val="22"/>
          <w:szCs w:val="22"/>
        </w:rPr>
        <w:t xml:space="preserve">tycznego Powiatu Dzierżoniowskiego”. </w:t>
      </w:r>
    </w:p>
    <w:p w:rsidR="00FE7715" w:rsidRDefault="00FE7715" w:rsidP="00FE7715">
      <w:pPr>
        <w:pStyle w:val="Akapitzlist"/>
        <w:keepNext/>
        <w:ind w:left="113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partnerska na rzecz realizacji Projektu „ </w:t>
      </w:r>
      <w:r w:rsidRPr="00FE7715">
        <w:rPr>
          <w:sz w:val="22"/>
          <w:szCs w:val="22"/>
        </w:rPr>
        <w:t xml:space="preserve">Innowacyjne E-Usługi świadczone </w:t>
      </w:r>
      <w:r w:rsidR="001D5840">
        <w:rPr>
          <w:sz w:val="22"/>
          <w:szCs w:val="22"/>
        </w:rPr>
        <w:br/>
      </w:r>
      <w:r w:rsidRPr="00FE7715">
        <w:rPr>
          <w:sz w:val="22"/>
          <w:szCs w:val="22"/>
        </w:rPr>
        <w:t>za pomocą Zintegrowanego Systemu Informatycznego Powiatu Dzierżoniowskiego”</w:t>
      </w:r>
    </w:p>
    <w:p w:rsidR="001D5840" w:rsidRPr="001D5840" w:rsidRDefault="00FE7715" w:rsidP="001D5840">
      <w:pPr>
        <w:pStyle w:val="Akapitzlist"/>
        <w:keepNext/>
        <w:ind w:left="113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Programu Operacyjnego kapitał Ludzki współfinansowanego z Europejskiego Funduszu </w:t>
      </w:r>
      <w:r w:rsidR="001D5840">
        <w:rPr>
          <w:sz w:val="22"/>
          <w:szCs w:val="22"/>
        </w:rPr>
        <w:t>Społecznego zawarta w dniu 18 marca 2014 roku między Powiatem Dzierż</w:t>
      </w:r>
      <w:r w:rsidR="001D5840">
        <w:rPr>
          <w:sz w:val="22"/>
          <w:szCs w:val="22"/>
        </w:rPr>
        <w:t>o</w:t>
      </w:r>
      <w:r w:rsidR="001D5840">
        <w:rPr>
          <w:sz w:val="22"/>
          <w:szCs w:val="22"/>
        </w:rPr>
        <w:t xml:space="preserve">niowskim a 7 Gminami Powiatu Dzierżoniowskiego . Liderem Partnerstwa jest </w:t>
      </w:r>
      <w:r w:rsidR="00321683" w:rsidRPr="001D5840">
        <w:rPr>
          <w:sz w:val="22"/>
          <w:szCs w:val="22"/>
        </w:rPr>
        <w:t>Starostwo Powiatowe w Dzier</w:t>
      </w:r>
      <w:r w:rsidR="00AB2417" w:rsidRPr="001D5840">
        <w:rPr>
          <w:sz w:val="22"/>
          <w:szCs w:val="22"/>
        </w:rPr>
        <w:t xml:space="preserve">żoniowie. </w:t>
      </w:r>
      <w:r w:rsidR="001D5840" w:rsidRPr="001D5840">
        <w:rPr>
          <w:sz w:val="22"/>
          <w:szCs w:val="22"/>
        </w:rPr>
        <w:t xml:space="preserve">Wkład własny projektu będą pokrywali wszyscy uczestnicy projektu tj. 8 </w:t>
      </w:r>
      <w:proofErr w:type="spellStart"/>
      <w:r w:rsidR="001D5840" w:rsidRPr="001D5840">
        <w:rPr>
          <w:sz w:val="22"/>
          <w:szCs w:val="22"/>
        </w:rPr>
        <w:t>jst</w:t>
      </w:r>
      <w:proofErr w:type="spellEnd"/>
      <w:r w:rsidR="001D5840">
        <w:rPr>
          <w:sz w:val="22"/>
          <w:szCs w:val="22"/>
        </w:rPr>
        <w:t>,</w:t>
      </w:r>
      <w:r w:rsidR="001D5840" w:rsidRPr="001D5840">
        <w:rPr>
          <w:sz w:val="22"/>
          <w:szCs w:val="22"/>
        </w:rPr>
        <w:t xml:space="preserve"> w tym u</w:t>
      </w:r>
      <w:r w:rsidR="00321683" w:rsidRPr="001D5840">
        <w:rPr>
          <w:sz w:val="22"/>
          <w:szCs w:val="22"/>
        </w:rPr>
        <w:t>dział Gminy Piława Górna wynosi: z tytułu wkładu niepienię</w:t>
      </w:r>
      <w:r w:rsidR="00321683" w:rsidRPr="001D5840">
        <w:rPr>
          <w:sz w:val="22"/>
          <w:szCs w:val="22"/>
        </w:rPr>
        <w:t>ż</w:t>
      </w:r>
      <w:r w:rsidR="00321683" w:rsidRPr="001D5840">
        <w:rPr>
          <w:sz w:val="22"/>
          <w:szCs w:val="22"/>
        </w:rPr>
        <w:t>nego w roku</w:t>
      </w:r>
      <w:r w:rsidR="00757918">
        <w:rPr>
          <w:sz w:val="22"/>
          <w:szCs w:val="22"/>
        </w:rPr>
        <w:t xml:space="preserve"> 2014- 3.828</w:t>
      </w:r>
      <w:r w:rsidR="00AB2417" w:rsidRPr="001D5840">
        <w:rPr>
          <w:sz w:val="22"/>
          <w:szCs w:val="22"/>
        </w:rPr>
        <w:t xml:space="preserve"> zł, </w:t>
      </w:r>
      <w:r w:rsidR="00757918">
        <w:rPr>
          <w:sz w:val="22"/>
          <w:szCs w:val="22"/>
        </w:rPr>
        <w:t>w roku 2015- 11.484</w:t>
      </w:r>
      <w:r w:rsidR="00321683" w:rsidRPr="001D5840">
        <w:rPr>
          <w:sz w:val="22"/>
          <w:szCs w:val="22"/>
        </w:rPr>
        <w:t xml:space="preserve"> zł oraz wkładu pieniężnego w roku 2015 w kwocie 15 399,00 zł. </w:t>
      </w:r>
      <w:r w:rsidR="001D5840" w:rsidRPr="001D5840">
        <w:rPr>
          <w:sz w:val="22"/>
          <w:szCs w:val="22"/>
        </w:rPr>
        <w:t>Realizacja zadania w latach 2014-2015.</w:t>
      </w:r>
    </w:p>
    <w:p w:rsidR="009930B5" w:rsidRPr="00AB2417" w:rsidRDefault="009930B5" w:rsidP="009930B5">
      <w:pPr>
        <w:pStyle w:val="Akapitzlist"/>
        <w:keepNext/>
        <w:ind w:left="1134" w:firstLine="0"/>
        <w:jc w:val="both"/>
        <w:rPr>
          <w:sz w:val="22"/>
          <w:szCs w:val="22"/>
        </w:rPr>
      </w:pPr>
      <w:r>
        <w:rPr>
          <w:sz w:val="22"/>
          <w:szCs w:val="22"/>
        </w:rPr>
        <w:t>Łączne nakłady finansowe  15 399 zł, limit zobowiązań: 2015 rok – 15 399 zł.</w:t>
      </w:r>
    </w:p>
    <w:p w:rsidR="001D5840" w:rsidRDefault="001D5840" w:rsidP="001D5840">
      <w:pPr>
        <w:pStyle w:val="Akapitzlist"/>
        <w:keepNext/>
        <w:ind w:left="1134" w:firstLine="0"/>
        <w:jc w:val="both"/>
        <w:rPr>
          <w:sz w:val="22"/>
          <w:szCs w:val="22"/>
        </w:rPr>
      </w:pPr>
    </w:p>
    <w:p w:rsidR="00B7412C" w:rsidRDefault="00B7412C" w:rsidP="001D5840">
      <w:pPr>
        <w:pStyle w:val="Akapitzlist"/>
        <w:keepNext/>
        <w:ind w:left="1134" w:firstLine="0"/>
        <w:jc w:val="both"/>
        <w:rPr>
          <w:sz w:val="22"/>
          <w:szCs w:val="22"/>
        </w:rPr>
      </w:pPr>
    </w:p>
    <w:p w:rsidR="00B7412C" w:rsidRDefault="00B7412C" w:rsidP="001D5840">
      <w:pPr>
        <w:pStyle w:val="Akapitzlist"/>
        <w:keepNext/>
        <w:ind w:left="1134" w:firstLine="0"/>
        <w:jc w:val="both"/>
        <w:rPr>
          <w:sz w:val="22"/>
          <w:szCs w:val="22"/>
        </w:rPr>
      </w:pPr>
    </w:p>
    <w:sectPr w:rsidR="00B7412C" w:rsidSect="00C9623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476" w:right="1417" w:bottom="1417" w:left="1417" w:header="709" w:footer="406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D1" w:rsidRDefault="00CF55D1">
      <w:r>
        <w:separator/>
      </w:r>
    </w:p>
  </w:endnote>
  <w:endnote w:type="continuationSeparator" w:id="0">
    <w:p w:rsidR="00CF55D1" w:rsidRDefault="00CF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Pr="002C4354" w:rsidRDefault="0015373D" w:rsidP="002C4354">
    <w:pPr>
      <w:pStyle w:val="Stopka"/>
      <w:pBdr>
        <w:top w:val="single" w:sz="4" w:space="0" w:color="auto"/>
      </w:pBdr>
      <w:ind w:firstLine="0"/>
      <w:rPr>
        <w:i/>
      </w:rPr>
    </w:pPr>
    <w:r w:rsidRPr="002C4354">
      <w:rPr>
        <w:i/>
        <w:sz w:val="18"/>
        <w:szCs w:val="18"/>
      </w:rPr>
      <w:t>Projekt</w:t>
    </w:r>
    <w:r>
      <w:rPr>
        <w:i/>
        <w:sz w:val="18"/>
        <w:szCs w:val="18"/>
      </w:rPr>
      <w:t xml:space="preserve"> U</w:t>
    </w:r>
    <w:r w:rsidRPr="002C4354">
      <w:rPr>
        <w:i/>
        <w:sz w:val="18"/>
        <w:szCs w:val="18"/>
      </w:rPr>
      <w:t xml:space="preserve">chwały </w:t>
    </w:r>
    <w:r>
      <w:rPr>
        <w:i/>
        <w:sz w:val="18"/>
        <w:szCs w:val="18"/>
      </w:rPr>
      <w:t xml:space="preserve"> w sprawie </w:t>
    </w:r>
    <w:r w:rsidRPr="002C4354">
      <w:rPr>
        <w:i/>
        <w:sz w:val="18"/>
        <w:szCs w:val="18"/>
      </w:rPr>
      <w:t>Wieloletniej Prognozy Finansowej Gminy Pi</w:t>
    </w:r>
    <w:r>
      <w:rPr>
        <w:i/>
        <w:sz w:val="18"/>
        <w:szCs w:val="18"/>
      </w:rPr>
      <w:t>ł</w:t>
    </w:r>
    <w:r w:rsidRPr="002C4354">
      <w:rPr>
        <w:i/>
        <w:sz w:val="18"/>
        <w:szCs w:val="18"/>
      </w:rPr>
      <w:t>awa Górna na lata 2011-2017</w:t>
    </w:r>
    <w:sdt>
      <w:sdtPr>
        <w:rPr>
          <w:i/>
          <w:sz w:val="18"/>
          <w:szCs w:val="18"/>
        </w:rPr>
        <w:id w:val="16334947"/>
        <w:docPartObj>
          <w:docPartGallery w:val="Page Numbers (Bottom of Page)"/>
          <w:docPartUnique/>
        </w:docPartObj>
      </w:sdtPr>
      <w:sdtContent>
        <w:r w:rsidRPr="002C4354">
          <w:rPr>
            <w:i/>
            <w:sz w:val="18"/>
            <w:szCs w:val="18"/>
          </w:rPr>
          <w:t xml:space="preserve">                  </w:t>
        </w:r>
        <w:r>
          <w:rPr>
            <w:i/>
            <w:sz w:val="18"/>
            <w:szCs w:val="18"/>
          </w:rPr>
          <w:t xml:space="preserve">            </w:t>
        </w:r>
        <w:r w:rsidRPr="002C4354">
          <w:rPr>
            <w:i/>
            <w:sz w:val="18"/>
            <w:szCs w:val="18"/>
          </w:rPr>
          <w:t xml:space="preserve"> </w:t>
        </w:r>
        <w:r w:rsidR="00FC19D2" w:rsidRPr="002C4354">
          <w:rPr>
            <w:i/>
            <w:sz w:val="18"/>
            <w:szCs w:val="18"/>
          </w:rPr>
          <w:fldChar w:fldCharType="begin"/>
        </w:r>
        <w:r w:rsidRPr="002C4354">
          <w:rPr>
            <w:i/>
            <w:sz w:val="18"/>
            <w:szCs w:val="18"/>
          </w:rPr>
          <w:instrText xml:space="preserve"> PAGE   \* MERGEFORMAT </w:instrText>
        </w:r>
        <w:r w:rsidR="00FC19D2" w:rsidRPr="002C4354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</w:t>
        </w:r>
        <w:r w:rsidR="00FC19D2" w:rsidRPr="002C4354">
          <w:rPr>
            <w:i/>
            <w:sz w:val="18"/>
            <w:szCs w:val="18"/>
          </w:rPr>
          <w:fldChar w:fldCharType="end"/>
        </w:r>
      </w:sdtContent>
    </w:sdt>
  </w:p>
  <w:p w:rsidR="0015373D" w:rsidRPr="002C4354" w:rsidRDefault="0015373D" w:rsidP="000C1F09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D1" w:rsidRDefault="00CF55D1">
      <w:pPr>
        <w:ind w:firstLine="0"/>
      </w:pPr>
      <w:r>
        <w:separator/>
      </w:r>
    </w:p>
  </w:footnote>
  <w:footnote w:type="continuationSeparator" w:id="0">
    <w:p w:rsidR="00CF55D1" w:rsidRDefault="00CF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Pr="000C1F09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tab/>
    </w:r>
    <w:r>
      <w:rPr>
        <w:i/>
        <w:sz w:val="18"/>
        <w:szCs w:val="18"/>
      </w:rPr>
      <w:t>Załącznik Nr 3</w:t>
    </w:r>
  </w:p>
  <w:p w:rsidR="00360ABF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 w:rsidRPr="000C1F09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C1F09">
      <w:rPr>
        <w:i/>
        <w:sz w:val="18"/>
        <w:szCs w:val="18"/>
      </w:rPr>
      <w:t>do</w:t>
    </w:r>
    <w:r w:rsidR="00360ABF">
      <w:rPr>
        <w:i/>
        <w:sz w:val="18"/>
        <w:szCs w:val="18"/>
      </w:rPr>
      <w:t xml:space="preserve"> Uchwały Nr 5/III/2014</w:t>
    </w:r>
  </w:p>
  <w:p w:rsidR="0015373D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</w:t>
    </w:r>
    <w:r w:rsidR="00360ABF">
      <w:rPr>
        <w:i/>
        <w:sz w:val="18"/>
        <w:szCs w:val="18"/>
      </w:rPr>
      <w:t>Rady Miejskiej w Piławie Górnej</w:t>
    </w:r>
    <w:r>
      <w:rPr>
        <w:i/>
        <w:sz w:val="18"/>
        <w:szCs w:val="18"/>
      </w:rPr>
      <w:t xml:space="preserve"> </w:t>
    </w:r>
  </w:p>
  <w:p w:rsidR="0015373D" w:rsidRDefault="00360ABF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rPr>
        <w:i/>
        <w:sz w:val="18"/>
        <w:szCs w:val="18"/>
      </w:rPr>
      <w:t>z dnia 19.12.2014 r.</w:t>
    </w:r>
  </w:p>
  <w:p w:rsidR="0015373D" w:rsidRPr="00295DFE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Pr="005D7667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 w:rsidRPr="005D7667">
      <w:rPr>
        <w:i/>
        <w:sz w:val="18"/>
        <w:szCs w:val="18"/>
      </w:rPr>
      <w:t>Załącznik nr 3</w:t>
    </w:r>
  </w:p>
  <w:p w:rsidR="002D5706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 w:rsidRPr="005D7667">
      <w:rPr>
        <w:i/>
        <w:sz w:val="18"/>
        <w:szCs w:val="18"/>
      </w:rPr>
      <w:tab/>
    </w:r>
    <w:r w:rsidRPr="005D7667">
      <w:rPr>
        <w:i/>
        <w:sz w:val="18"/>
        <w:szCs w:val="18"/>
      </w:rPr>
      <w:tab/>
    </w:r>
    <w:r w:rsidR="00EC39CF">
      <w:rPr>
        <w:i/>
        <w:sz w:val="18"/>
        <w:szCs w:val="18"/>
      </w:rPr>
      <w:t>d</w:t>
    </w:r>
    <w:r w:rsidRPr="005D7667">
      <w:rPr>
        <w:i/>
        <w:sz w:val="18"/>
        <w:szCs w:val="18"/>
      </w:rPr>
      <w:t>o</w:t>
    </w:r>
    <w:r w:rsidR="00EC39CF">
      <w:rPr>
        <w:i/>
        <w:sz w:val="18"/>
        <w:szCs w:val="18"/>
      </w:rPr>
      <w:t xml:space="preserve"> </w:t>
    </w:r>
    <w:r w:rsidRPr="005D7667">
      <w:rPr>
        <w:i/>
        <w:sz w:val="18"/>
        <w:szCs w:val="18"/>
      </w:rPr>
      <w:t xml:space="preserve">Uchwały </w:t>
    </w:r>
    <w:r w:rsidR="00EC39CF">
      <w:rPr>
        <w:i/>
        <w:sz w:val="18"/>
        <w:szCs w:val="18"/>
      </w:rPr>
      <w:t xml:space="preserve">Nr </w:t>
    </w:r>
    <w:r w:rsidR="00360ABF">
      <w:rPr>
        <w:i/>
        <w:sz w:val="18"/>
        <w:szCs w:val="18"/>
      </w:rPr>
      <w:t>5</w:t>
    </w:r>
    <w:r w:rsidR="002D5706">
      <w:rPr>
        <w:i/>
        <w:sz w:val="18"/>
        <w:szCs w:val="18"/>
      </w:rPr>
      <w:t>/III/2014</w:t>
    </w:r>
  </w:p>
  <w:p w:rsidR="0015373D" w:rsidRPr="005D7667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 w:rsidRPr="005D7667">
      <w:rPr>
        <w:i/>
        <w:sz w:val="18"/>
        <w:szCs w:val="18"/>
      </w:rPr>
      <w:tab/>
    </w:r>
    <w:r w:rsidRPr="005D7667">
      <w:rPr>
        <w:i/>
        <w:sz w:val="18"/>
        <w:szCs w:val="18"/>
      </w:rPr>
      <w:tab/>
    </w:r>
    <w:r w:rsidRPr="005D7667">
      <w:rPr>
        <w:i/>
        <w:sz w:val="18"/>
        <w:szCs w:val="18"/>
      </w:rPr>
      <w:tab/>
    </w:r>
    <w:r w:rsidR="002D5706">
      <w:rPr>
        <w:i/>
        <w:sz w:val="18"/>
        <w:szCs w:val="18"/>
      </w:rPr>
      <w:t>Rady Miejskiej w Piławie Górnej</w:t>
    </w:r>
    <w:r w:rsidRPr="005D7667">
      <w:rPr>
        <w:i/>
        <w:sz w:val="18"/>
        <w:szCs w:val="18"/>
      </w:rPr>
      <w:t xml:space="preserve"> </w:t>
    </w:r>
  </w:p>
  <w:p w:rsidR="0015373D" w:rsidRPr="005D7667" w:rsidRDefault="002D5706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rPr>
        <w:i/>
        <w:sz w:val="18"/>
        <w:szCs w:val="18"/>
      </w:rPr>
      <w:t>z dnia 19.12.2014 r.</w:t>
    </w:r>
  </w:p>
  <w:p w:rsidR="0015373D" w:rsidRPr="005D7667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D" w:rsidRPr="000C1F09" w:rsidRDefault="0015373D" w:rsidP="00295DFE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</w:t>
    </w:r>
  </w:p>
  <w:p w:rsidR="0015373D" w:rsidRDefault="0015373D" w:rsidP="00C96239">
    <w:pPr>
      <w:tabs>
        <w:tab w:val="left" w:pos="5103"/>
      </w:tabs>
      <w:ind w:firstLine="0"/>
      <w:jc w:val="right"/>
      <w:rPr>
        <w:i/>
        <w:sz w:val="18"/>
        <w:szCs w:val="18"/>
      </w:rPr>
    </w:pPr>
    <w:r w:rsidRPr="000C1F09">
      <w:rPr>
        <w:i/>
        <w:sz w:val="18"/>
        <w:szCs w:val="18"/>
      </w:rPr>
      <w:t xml:space="preserve">do </w:t>
    </w:r>
    <w:r>
      <w:rPr>
        <w:i/>
        <w:sz w:val="18"/>
        <w:szCs w:val="18"/>
      </w:rPr>
      <w:t xml:space="preserve">projektu chwały w sprawie przyjęcia  Wieloletniej Prognozy Finansowej </w:t>
    </w:r>
  </w:p>
  <w:p w:rsidR="0015373D" w:rsidRPr="00295DFE" w:rsidRDefault="0015373D" w:rsidP="00E3619C">
    <w:pPr>
      <w:tabs>
        <w:tab w:val="left" w:pos="5103"/>
      </w:tabs>
      <w:ind w:firstLine="0"/>
      <w:jc w:val="right"/>
      <w:rPr>
        <w:i/>
        <w:sz w:val="18"/>
        <w:szCs w:val="18"/>
      </w:rPr>
    </w:pPr>
    <w:r>
      <w:rPr>
        <w:i/>
        <w:sz w:val="18"/>
        <w:szCs w:val="18"/>
      </w:rPr>
      <w:t>Gminy Piława Górna na lata 2012-2018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D6D"/>
    <w:multiLevelType w:val="hybridMultilevel"/>
    <w:tmpl w:val="AC50FA4C"/>
    <w:lvl w:ilvl="0" w:tplc="FEDAA5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F00ECC"/>
    <w:multiLevelType w:val="hybridMultilevel"/>
    <w:tmpl w:val="ADD2F7B8"/>
    <w:lvl w:ilvl="0" w:tplc="FE42C35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2B05"/>
    <w:multiLevelType w:val="hybridMultilevel"/>
    <w:tmpl w:val="7D50FC84"/>
    <w:lvl w:ilvl="0" w:tplc="7A64D7E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11E88"/>
    <w:multiLevelType w:val="hybridMultilevel"/>
    <w:tmpl w:val="08866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91E"/>
    <w:multiLevelType w:val="hybridMultilevel"/>
    <w:tmpl w:val="2B502468"/>
    <w:lvl w:ilvl="0" w:tplc="4A782C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552375"/>
    <w:multiLevelType w:val="hybridMultilevel"/>
    <w:tmpl w:val="CD5CE7DA"/>
    <w:lvl w:ilvl="0" w:tplc="C2C244BC">
      <w:start w:val="1"/>
      <w:numFmt w:val="decimal"/>
      <w:lvlText w:val="Ad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C790A"/>
    <w:multiLevelType w:val="hybridMultilevel"/>
    <w:tmpl w:val="55F4EFAC"/>
    <w:lvl w:ilvl="0" w:tplc="48728D1E">
      <w:start w:val="201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959E6"/>
    <w:multiLevelType w:val="hybridMultilevel"/>
    <w:tmpl w:val="D36A0A5A"/>
    <w:lvl w:ilvl="0" w:tplc="5E46FA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A23759"/>
    <w:multiLevelType w:val="hybridMultilevel"/>
    <w:tmpl w:val="8862A85E"/>
    <w:lvl w:ilvl="0" w:tplc="AB705A3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43ECE"/>
    <w:multiLevelType w:val="hybridMultilevel"/>
    <w:tmpl w:val="7C181AB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DF09CD"/>
    <w:multiLevelType w:val="hybridMultilevel"/>
    <w:tmpl w:val="67860866"/>
    <w:lvl w:ilvl="0" w:tplc="94261B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4655A"/>
    <w:multiLevelType w:val="hybridMultilevel"/>
    <w:tmpl w:val="D7C89754"/>
    <w:lvl w:ilvl="0" w:tplc="252EE14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0C9"/>
    <w:multiLevelType w:val="hybridMultilevel"/>
    <w:tmpl w:val="201AFDBA"/>
    <w:lvl w:ilvl="0" w:tplc="440E1E20">
      <w:start w:val="2014"/>
      <w:numFmt w:val="decimal"/>
      <w:lvlText w:val="%1-"/>
      <w:lvlJc w:val="left"/>
      <w:pPr>
        <w:ind w:left="131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4">
    <w:nsid w:val="23CC7BFE"/>
    <w:multiLevelType w:val="hybridMultilevel"/>
    <w:tmpl w:val="DF149BE2"/>
    <w:lvl w:ilvl="0" w:tplc="0C30CEA4">
      <w:start w:val="2013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204BED"/>
    <w:multiLevelType w:val="hybridMultilevel"/>
    <w:tmpl w:val="B1EC4B80"/>
    <w:lvl w:ilvl="0" w:tplc="E2A2E7F2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2BC133FF"/>
    <w:multiLevelType w:val="hybridMultilevel"/>
    <w:tmpl w:val="B6CA0D24"/>
    <w:lvl w:ilvl="0" w:tplc="50E615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0364039"/>
    <w:multiLevelType w:val="hybridMultilevel"/>
    <w:tmpl w:val="E03C1E1A"/>
    <w:lvl w:ilvl="0" w:tplc="1AD814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746DE"/>
    <w:multiLevelType w:val="hybridMultilevel"/>
    <w:tmpl w:val="8DEC25E0"/>
    <w:lvl w:ilvl="0" w:tplc="6FC66546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7E62"/>
    <w:multiLevelType w:val="hybridMultilevel"/>
    <w:tmpl w:val="2612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464D4"/>
    <w:multiLevelType w:val="hybridMultilevel"/>
    <w:tmpl w:val="AB485B26"/>
    <w:lvl w:ilvl="0" w:tplc="3AD44C1E">
      <w:start w:val="2014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233FBD"/>
    <w:multiLevelType w:val="hybridMultilevel"/>
    <w:tmpl w:val="9386231A"/>
    <w:lvl w:ilvl="0" w:tplc="E1B68A6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A65"/>
    <w:multiLevelType w:val="hybridMultilevel"/>
    <w:tmpl w:val="D5C6ADE0"/>
    <w:lvl w:ilvl="0" w:tplc="F2FE935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F6787"/>
    <w:multiLevelType w:val="hybridMultilevel"/>
    <w:tmpl w:val="983495F2"/>
    <w:lvl w:ilvl="0" w:tplc="31808C0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2221"/>
    <w:multiLevelType w:val="hybridMultilevel"/>
    <w:tmpl w:val="E97E1A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CD27B3"/>
    <w:multiLevelType w:val="hybridMultilevel"/>
    <w:tmpl w:val="E2A8E94C"/>
    <w:lvl w:ilvl="0" w:tplc="8E665F1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F018A"/>
    <w:multiLevelType w:val="hybridMultilevel"/>
    <w:tmpl w:val="A65A5EA4"/>
    <w:lvl w:ilvl="0" w:tplc="6B503C5A">
      <w:start w:val="2011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7E088B"/>
    <w:multiLevelType w:val="hybridMultilevel"/>
    <w:tmpl w:val="1362ED9A"/>
    <w:lvl w:ilvl="0" w:tplc="F1F25C08">
      <w:start w:val="2011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D21A76"/>
    <w:multiLevelType w:val="hybridMultilevel"/>
    <w:tmpl w:val="BE7E87F6"/>
    <w:lvl w:ilvl="0" w:tplc="7562B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5C4654"/>
    <w:multiLevelType w:val="hybridMultilevel"/>
    <w:tmpl w:val="B8507700"/>
    <w:lvl w:ilvl="0" w:tplc="80DE668A">
      <w:start w:val="1"/>
      <w:numFmt w:val="bullet"/>
      <w:lvlText w:val=""/>
      <w:lvlJc w:val="left"/>
      <w:pPr>
        <w:ind w:left="1331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0">
    <w:nsid w:val="663B2E07"/>
    <w:multiLevelType w:val="hybridMultilevel"/>
    <w:tmpl w:val="32601A98"/>
    <w:lvl w:ilvl="0" w:tplc="0F5A6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3B4690"/>
    <w:multiLevelType w:val="hybridMultilevel"/>
    <w:tmpl w:val="7870CF7A"/>
    <w:lvl w:ilvl="0" w:tplc="E1F2A4F2">
      <w:start w:val="2012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915C42"/>
    <w:multiLevelType w:val="hybridMultilevel"/>
    <w:tmpl w:val="D09EEEF8"/>
    <w:lvl w:ilvl="0" w:tplc="7DFA4BD6">
      <w:start w:val="201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343A1"/>
    <w:multiLevelType w:val="multilevel"/>
    <w:tmpl w:val="177EA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79745F"/>
    <w:multiLevelType w:val="hybridMultilevel"/>
    <w:tmpl w:val="B4B0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4AD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368C5"/>
    <w:multiLevelType w:val="hybridMultilevel"/>
    <w:tmpl w:val="8014F800"/>
    <w:lvl w:ilvl="0" w:tplc="BEF8A6C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23AE8"/>
    <w:multiLevelType w:val="hybridMultilevel"/>
    <w:tmpl w:val="F8244666"/>
    <w:lvl w:ilvl="0" w:tplc="7C8ECD0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B86087B"/>
    <w:multiLevelType w:val="hybridMultilevel"/>
    <w:tmpl w:val="4CDC0C48"/>
    <w:lvl w:ilvl="0" w:tplc="1EB8E2E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2"/>
  </w:num>
  <w:num w:numId="4">
    <w:abstractNumId w:val="12"/>
  </w:num>
  <w:num w:numId="5">
    <w:abstractNumId w:val="23"/>
  </w:num>
  <w:num w:numId="6">
    <w:abstractNumId w:val="17"/>
  </w:num>
  <w:num w:numId="7">
    <w:abstractNumId w:val="37"/>
  </w:num>
  <w:num w:numId="8">
    <w:abstractNumId w:val="21"/>
  </w:num>
  <w:num w:numId="9">
    <w:abstractNumId w:val="25"/>
  </w:num>
  <w:num w:numId="10">
    <w:abstractNumId w:val="18"/>
  </w:num>
  <w:num w:numId="11">
    <w:abstractNumId w:val="2"/>
  </w:num>
  <w:num w:numId="12">
    <w:abstractNumId w:val="6"/>
  </w:num>
  <w:num w:numId="13">
    <w:abstractNumId w:val="8"/>
  </w:num>
  <w:num w:numId="14">
    <w:abstractNumId w:val="35"/>
  </w:num>
  <w:num w:numId="15">
    <w:abstractNumId w:val="26"/>
  </w:num>
  <w:num w:numId="16">
    <w:abstractNumId w:val="33"/>
  </w:num>
  <w:num w:numId="17">
    <w:abstractNumId w:val="13"/>
  </w:num>
  <w:num w:numId="18">
    <w:abstractNumId w:val="27"/>
  </w:num>
  <w:num w:numId="19">
    <w:abstractNumId w:val="0"/>
  </w:num>
  <w:num w:numId="20">
    <w:abstractNumId w:val="1"/>
  </w:num>
  <w:num w:numId="21">
    <w:abstractNumId w:val="20"/>
  </w:num>
  <w:num w:numId="22">
    <w:abstractNumId w:val="31"/>
  </w:num>
  <w:num w:numId="23">
    <w:abstractNumId w:val="16"/>
  </w:num>
  <w:num w:numId="24">
    <w:abstractNumId w:val="22"/>
  </w:num>
  <w:num w:numId="25">
    <w:abstractNumId w:val="29"/>
  </w:num>
  <w:num w:numId="26">
    <w:abstractNumId w:val="30"/>
  </w:num>
  <w:num w:numId="27">
    <w:abstractNumId w:val="3"/>
  </w:num>
  <w:num w:numId="28">
    <w:abstractNumId w:val="4"/>
  </w:num>
  <w:num w:numId="29">
    <w:abstractNumId w:val="28"/>
  </w:num>
  <w:num w:numId="30">
    <w:abstractNumId w:val="15"/>
  </w:num>
  <w:num w:numId="31">
    <w:abstractNumId w:val="7"/>
  </w:num>
  <w:num w:numId="32">
    <w:abstractNumId w:val="11"/>
  </w:num>
  <w:num w:numId="33">
    <w:abstractNumId w:val="36"/>
  </w:num>
  <w:num w:numId="34">
    <w:abstractNumId w:val="24"/>
  </w:num>
  <w:num w:numId="35">
    <w:abstractNumId w:val="19"/>
  </w:num>
  <w:num w:numId="36">
    <w:abstractNumId w:val="9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autoHyphenation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116E3"/>
    <w:rsid w:val="00030373"/>
    <w:rsid w:val="000368C2"/>
    <w:rsid w:val="00037438"/>
    <w:rsid w:val="000610A6"/>
    <w:rsid w:val="0006378F"/>
    <w:rsid w:val="00073499"/>
    <w:rsid w:val="00074A7A"/>
    <w:rsid w:val="00082E42"/>
    <w:rsid w:val="00083153"/>
    <w:rsid w:val="00086542"/>
    <w:rsid w:val="00090197"/>
    <w:rsid w:val="00097AC4"/>
    <w:rsid w:val="000A0EBF"/>
    <w:rsid w:val="000B07E2"/>
    <w:rsid w:val="000C09BF"/>
    <w:rsid w:val="000C1F09"/>
    <w:rsid w:val="000C7B60"/>
    <w:rsid w:val="000C7F53"/>
    <w:rsid w:val="000E2178"/>
    <w:rsid w:val="000E2C42"/>
    <w:rsid w:val="000E2F3F"/>
    <w:rsid w:val="000E3F3F"/>
    <w:rsid w:val="000E5F07"/>
    <w:rsid w:val="000F7097"/>
    <w:rsid w:val="000F7711"/>
    <w:rsid w:val="00102BFC"/>
    <w:rsid w:val="00113020"/>
    <w:rsid w:val="00123070"/>
    <w:rsid w:val="00127144"/>
    <w:rsid w:val="00133015"/>
    <w:rsid w:val="00135E10"/>
    <w:rsid w:val="0013657E"/>
    <w:rsid w:val="001375F0"/>
    <w:rsid w:val="001503E0"/>
    <w:rsid w:val="0015373D"/>
    <w:rsid w:val="001600D8"/>
    <w:rsid w:val="00181296"/>
    <w:rsid w:val="00191332"/>
    <w:rsid w:val="001A528E"/>
    <w:rsid w:val="001B1F1D"/>
    <w:rsid w:val="001B3CED"/>
    <w:rsid w:val="001B6908"/>
    <w:rsid w:val="001C06D8"/>
    <w:rsid w:val="001C6B47"/>
    <w:rsid w:val="001D09C9"/>
    <w:rsid w:val="001D433F"/>
    <w:rsid w:val="001D5840"/>
    <w:rsid w:val="001E0C1C"/>
    <w:rsid w:val="001E5636"/>
    <w:rsid w:val="001E5E59"/>
    <w:rsid w:val="001F1972"/>
    <w:rsid w:val="00210B20"/>
    <w:rsid w:val="002256FE"/>
    <w:rsid w:val="002261B0"/>
    <w:rsid w:val="00232847"/>
    <w:rsid w:val="002512FF"/>
    <w:rsid w:val="0025375A"/>
    <w:rsid w:val="002656F7"/>
    <w:rsid w:val="0027557F"/>
    <w:rsid w:val="002850DC"/>
    <w:rsid w:val="00286734"/>
    <w:rsid w:val="00295155"/>
    <w:rsid w:val="00295DFE"/>
    <w:rsid w:val="00297532"/>
    <w:rsid w:val="002A60E1"/>
    <w:rsid w:val="002A6724"/>
    <w:rsid w:val="002B1F32"/>
    <w:rsid w:val="002B5072"/>
    <w:rsid w:val="002C4354"/>
    <w:rsid w:val="002D2D04"/>
    <w:rsid w:val="002D355D"/>
    <w:rsid w:val="002D5706"/>
    <w:rsid w:val="002D66A0"/>
    <w:rsid w:val="002E1147"/>
    <w:rsid w:val="002F3AE5"/>
    <w:rsid w:val="002F508F"/>
    <w:rsid w:val="00316D44"/>
    <w:rsid w:val="00321683"/>
    <w:rsid w:val="003256CF"/>
    <w:rsid w:val="00334FC9"/>
    <w:rsid w:val="00335252"/>
    <w:rsid w:val="003352ED"/>
    <w:rsid w:val="00342F6C"/>
    <w:rsid w:val="00347C68"/>
    <w:rsid w:val="0035232B"/>
    <w:rsid w:val="00360ABF"/>
    <w:rsid w:val="0036166A"/>
    <w:rsid w:val="00366831"/>
    <w:rsid w:val="003862E9"/>
    <w:rsid w:val="003918C8"/>
    <w:rsid w:val="003919FE"/>
    <w:rsid w:val="0039214C"/>
    <w:rsid w:val="00392522"/>
    <w:rsid w:val="003949EF"/>
    <w:rsid w:val="003B08F1"/>
    <w:rsid w:val="003B1DC1"/>
    <w:rsid w:val="003C5EA9"/>
    <w:rsid w:val="003E2DBA"/>
    <w:rsid w:val="003E6806"/>
    <w:rsid w:val="003E7797"/>
    <w:rsid w:val="003F0346"/>
    <w:rsid w:val="003F18AC"/>
    <w:rsid w:val="003F24AB"/>
    <w:rsid w:val="00401815"/>
    <w:rsid w:val="00403806"/>
    <w:rsid w:val="004114A1"/>
    <w:rsid w:val="00412476"/>
    <w:rsid w:val="0041253E"/>
    <w:rsid w:val="00416650"/>
    <w:rsid w:val="00417151"/>
    <w:rsid w:val="00427AB2"/>
    <w:rsid w:val="00432F03"/>
    <w:rsid w:val="004405AB"/>
    <w:rsid w:val="00457AF4"/>
    <w:rsid w:val="00460D54"/>
    <w:rsid w:val="00466BE2"/>
    <w:rsid w:val="00471190"/>
    <w:rsid w:val="00483884"/>
    <w:rsid w:val="004860F5"/>
    <w:rsid w:val="004A1E6A"/>
    <w:rsid w:val="004A2CE3"/>
    <w:rsid w:val="004A745E"/>
    <w:rsid w:val="004B017F"/>
    <w:rsid w:val="004B3C80"/>
    <w:rsid w:val="004B4055"/>
    <w:rsid w:val="004B46CF"/>
    <w:rsid w:val="004D2694"/>
    <w:rsid w:val="004D5865"/>
    <w:rsid w:val="004E6A8A"/>
    <w:rsid w:val="004F3A47"/>
    <w:rsid w:val="00505605"/>
    <w:rsid w:val="0051656D"/>
    <w:rsid w:val="005358BC"/>
    <w:rsid w:val="005377AC"/>
    <w:rsid w:val="00541C76"/>
    <w:rsid w:val="00542825"/>
    <w:rsid w:val="00542E25"/>
    <w:rsid w:val="0054738D"/>
    <w:rsid w:val="00547CB5"/>
    <w:rsid w:val="00556680"/>
    <w:rsid w:val="00561314"/>
    <w:rsid w:val="005626D6"/>
    <w:rsid w:val="005638F7"/>
    <w:rsid w:val="00575FE3"/>
    <w:rsid w:val="005A5A94"/>
    <w:rsid w:val="005C406C"/>
    <w:rsid w:val="005C4458"/>
    <w:rsid w:val="005D0582"/>
    <w:rsid w:val="005D4484"/>
    <w:rsid w:val="005D536B"/>
    <w:rsid w:val="005D5A57"/>
    <w:rsid w:val="005D5F0A"/>
    <w:rsid w:val="005D5F24"/>
    <w:rsid w:val="005D7667"/>
    <w:rsid w:val="005F3D79"/>
    <w:rsid w:val="005F5847"/>
    <w:rsid w:val="00605FB4"/>
    <w:rsid w:val="0061163E"/>
    <w:rsid w:val="0062106A"/>
    <w:rsid w:val="00622D31"/>
    <w:rsid w:val="00624951"/>
    <w:rsid w:val="00635ED1"/>
    <w:rsid w:val="00636DE5"/>
    <w:rsid w:val="006407FA"/>
    <w:rsid w:val="00643497"/>
    <w:rsid w:val="00645848"/>
    <w:rsid w:val="00662B35"/>
    <w:rsid w:val="0066361C"/>
    <w:rsid w:val="006639EE"/>
    <w:rsid w:val="00667091"/>
    <w:rsid w:val="00671D54"/>
    <w:rsid w:val="00673297"/>
    <w:rsid w:val="00675649"/>
    <w:rsid w:val="0068057D"/>
    <w:rsid w:val="00683EF2"/>
    <w:rsid w:val="006841AA"/>
    <w:rsid w:val="006946EE"/>
    <w:rsid w:val="006A1664"/>
    <w:rsid w:val="006A5305"/>
    <w:rsid w:val="006A5BB5"/>
    <w:rsid w:val="006B1EB7"/>
    <w:rsid w:val="006C6C42"/>
    <w:rsid w:val="006E0B88"/>
    <w:rsid w:val="006E0C82"/>
    <w:rsid w:val="006F08C5"/>
    <w:rsid w:val="006F1CE1"/>
    <w:rsid w:val="00707895"/>
    <w:rsid w:val="00707C26"/>
    <w:rsid w:val="00710368"/>
    <w:rsid w:val="00721238"/>
    <w:rsid w:val="00722405"/>
    <w:rsid w:val="00732124"/>
    <w:rsid w:val="0073287B"/>
    <w:rsid w:val="00732984"/>
    <w:rsid w:val="00745B0D"/>
    <w:rsid w:val="00745E97"/>
    <w:rsid w:val="00754CE4"/>
    <w:rsid w:val="00755FC1"/>
    <w:rsid w:val="00757918"/>
    <w:rsid w:val="00775B8E"/>
    <w:rsid w:val="00776CC9"/>
    <w:rsid w:val="0078668A"/>
    <w:rsid w:val="007B642C"/>
    <w:rsid w:val="007D4F57"/>
    <w:rsid w:val="007D68A4"/>
    <w:rsid w:val="007F0C2C"/>
    <w:rsid w:val="00807417"/>
    <w:rsid w:val="008120E6"/>
    <w:rsid w:val="008130B7"/>
    <w:rsid w:val="008146C5"/>
    <w:rsid w:val="00821A3C"/>
    <w:rsid w:val="008331B2"/>
    <w:rsid w:val="00837AC3"/>
    <w:rsid w:val="00843D6F"/>
    <w:rsid w:val="00845D5F"/>
    <w:rsid w:val="00845F8F"/>
    <w:rsid w:val="00846270"/>
    <w:rsid w:val="00847BAC"/>
    <w:rsid w:val="00854261"/>
    <w:rsid w:val="00856524"/>
    <w:rsid w:val="00860D83"/>
    <w:rsid w:val="008704AE"/>
    <w:rsid w:val="008738A2"/>
    <w:rsid w:val="008813C3"/>
    <w:rsid w:val="0088507D"/>
    <w:rsid w:val="008A532C"/>
    <w:rsid w:val="008A71B0"/>
    <w:rsid w:val="008B3260"/>
    <w:rsid w:val="008C251A"/>
    <w:rsid w:val="008D0ADF"/>
    <w:rsid w:val="008D0E8D"/>
    <w:rsid w:val="008D2CA7"/>
    <w:rsid w:val="008D4654"/>
    <w:rsid w:val="008D670B"/>
    <w:rsid w:val="008E0602"/>
    <w:rsid w:val="008E0CC2"/>
    <w:rsid w:val="008E12C7"/>
    <w:rsid w:val="008E6E97"/>
    <w:rsid w:val="008F7797"/>
    <w:rsid w:val="009005B6"/>
    <w:rsid w:val="00904198"/>
    <w:rsid w:val="009179BF"/>
    <w:rsid w:val="00921A7A"/>
    <w:rsid w:val="00931A39"/>
    <w:rsid w:val="0093765B"/>
    <w:rsid w:val="00941B9A"/>
    <w:rsid w:val="00941F7B"/>
    <w:rsid w:val="00946959"/>
    <w:rsid w:val="00952817"/>
    <w:rsid w:val="0096474F"/>
    <w:rsid w:val="0096650B"/>
    <w:rsid w:val="00970E7F"/>
    <w:rsid w:val="009710E0"/>
    <w:rsid w:val="009816BE"/>
    <w:rsid w:val="00981F7D"/>
    <w:rsid w:val="00986B92"/>
    <w:rsid w:val="009906FC"/>
    <w:rsid w:val="00991A58"/>
    <w:rsid w:val="009930B5"/>
    <w:rsid w:val="009A280F"/>
    <w:rsid w:val="009A3771"/>
    <w:rsid w:val="009B06E0"/>
    <w:rsid w:val="009B70AB"/>
    <w:rsid w:val="009C227E"/>
    <w:rsid w:val="009C4447"/>
    <w:rsid w:val="009D61E6"/>
    <w:rsid w:val="009E03D6"/>
    <w:rsid w:val="009E50DD"/>
    <w:rsid w:val="009E6A0F"/>
    <w:rsid w:val="009F7FFC"/>
    <w:rsid w:val="00A00953"/>
    <w:rsid w:val="00A212E8"/>
    <w:rsid w:val="00A24728"/>
    <w:rsid w:val="00A24B5B"/>
    <w:rsid w:val="00A24B8E"/>
    <w:rsid w:val="00A51BD0"/>
    <w:rsid w:val="00A72515"/>
    <w:rsid w:val="00A81C5C"/>
    <w:rsid w:val="00A83781"/>
    <w:rsid w:val="00AA4C4D"/>
    <w:rsid w:val="00AA4EC3"/>
    <w:rsid w:val="00AB2417"/>
    <w:rsid w:val="00AB4AB2"/>
    <w:rsid w:val="00AC4940"/>
    <w:rsid w:val="00AC5CE9"/>
    <w:rsid w:val="00AD141C"/>
    <w:rsid w:val="00AD72DD"/>
    <w:rsid w:val="00AF2CC3"/>
    <w:rsid w:val="00AF3D14"/>
    <w:rsid w:val="00AF5968"/>
    <w:rsid w:val="00B221E9"/>
    <w:rsid w:val="00B248FF"/>
    <w:rsid w:val="00B37A41"/>
    <w:rsid w:val="00B37B96"/>
    <w:rsid w:val="00B53448"/>
    <w:rsid w:val="00B54792"/>
    <w:rsid w:val="00B61FC7"/>
    <w:rsid w:val="00B73ACD"/>
    <w:rsid w:val="00B7412C"/>
    <w:rsid w:val="00B802F1"/>
    <w:rsid w:val="00B83593"/>
    <w:rsid w:val="00B9210C"/>
    <w:rsid w:val="00B97D24"/>
    <w:rsid w:val="00BC15A8"/>
    <w:rsid w:val="00BE1C35"/>
    <w:rsid w:val="00BE31A2"/>
    <w:rsid w:val="00BF54D3"/>
    <w:rsid w:val="00C006C5"/>
    <w:rsid w:val="00C03F7F"/>
    <w:rsid w:val="00C07451"/>
    <w:rsid w:val="00C10903"/>
    <w:rsid w:val="00C14DD3"/>
    <w:rsid w:val="00C216AF"/>
    <w:rsid w:val="00C52D73"/>
    <w:rsid w:val="00C5301D"/>
    <w:rsid w:val="00C63E27"/>
    <w:rsid w:val="00C72900"/>
    <w:rsid w:val="00C74F17"/>
    <w:rsid w:val="00C75959"/>
    <w:rsid w:val="00C80E51"/>
    <w:rsid w:val="00C91640"/>
    <w:rsid w:val="00C940E1"/>
    <w:rsid w:val="00C96239"/>
    <w:rsid w:val="00C965DE"/>
    <w:rsid w:val="00CA1218"/>
    <w:rsid w:val="00CA63E8"/>
    <w:rsid w:val="00CB15DC"/>
    <w:rsid w:val="00CC612E"/>
    <w:rsid w:val="00CD23D3"/>
    <w:rsid w:val="00CF17EB"/>
    <w:rsid w:val="00CF23AD"/>
    <w:rsid w:val="00CF23B5"/>
    <w:rsid w:val="00CF2C69"/>
    <w:rsid w:val="00CF2D7D"/>
    <w:rsid w:val="00CF4A02"/>
    <w:rsid w:val="00CF55D1"/>
    <w:rsid w:val="00CF70B3"/>
    <w:rsid w:val="00D0632B"/>
    <w:rsid w:val="00D066BE"/>
    <w:rsid w:val="00D22F8A"/>
    <w:rsid w:val="00D30C0A"/>
    <w:rsid w:val="00D340C3"/>
    <w:rsid w:val="00D36721"/>
    <w:rsid w:val="00D52DF0"/>
    <w:rsid w:val="00D60EA5"/>
    <w:rsid w:val="00D63A20"/>
    <w:rsid w:val="00D72C77"/>
    <w:rsid w:val="00D83115"/>
    <w:rsid w:val="00D8615C"/>
    <w:rsid w:val="00D90513"/>
    <w:rsid w:val="00D91D94"/>
    <w:rsid w:val="00DB1D23"/>
    <w:rsid w:val="00DC0F3F"/>
    <w:rsid w:val="00DC51FD"/>
    <w:rsid w:val="00DC7D4D"/>
    <w:rsid w:val="00DD14E1"/>
    <w:rsid w:val="00DD5F5B"/>
    <w:rsid w:val="00DE0F1E"/>
    <w:rsid w:val="00DE1124"/>
    <w:rsid w:val="00DF2C7B"/>
    <w:rsid w:val="00DF2F72"/>
    <w:rsid w:val="00DF648F"/>
    <w:rsid w:val="00E024DB"/>
    <w:rsid w:val="00E02A81"/>
    <w:rsid w:val="00E3619C"/>
    <w:rsid w:val="00E36B57"/>
    <w:rsid w:val="00E42D80"/>
    <w:rsid w:val="00E46A16"/>
    <w:rsid w:val="00E4787E"/>
    <w:rsid w:val="00E5009A"/>
    <w:rsid w:val="00E52223"/>
    <w:rsid w:val="00E5689F"/>
    <w:rsid w:val="00E637F3"/>
    <w:rsid w:val="00E6724B"/>
    <w:rsid w:val="00E804A0"/>
    <w:rsid w:val="00E81B02"/>
    <w:rsid w:val="00E8791D"/>
    <w:rsid w:val="00E97997"/>
    <w:rsid w:val="00EA5C91"/>
    <w:rsid w:val="00EB102F"/>
    <w:rsid w:val="00EC39CF"/>
    <w:rsid w:val="00ED1757"/>
    <w:rsid w:val="00ED5087"/>
    <w:rsid w:val="00ED7725"/>
    <w:rsid w:val="00EE0640"/>
    <w:rsid w:val="00EE17B9"/>
    <w:rsid w:val="00EE26C8"/>
    <w:rsid w:val="00EF3FCE"/>
    <w:rsid w:val="00F07ADE"/>
    <w:rsid w:val="00F103C3"/>
    <w:rsid w:val="00F10CE5"/>
    <w:rsid w:val="00F162C2"/>
    <w:rsid w:val="00F216FA"/>
    <w:rsid w:val="00F25809"/>
    <w:rsid w:val="00F26EC0"/>
    <w:rsid w:val="00F31512"/>
    <w:rsid w:val="00F31518"/>
    <w:rsid w:val="00F455E1"/>
    <w:rsid w:val="00F46A6A"/>
    <w:rsid w:val="00F47820"/>
    <w:rsid w:val="00F72104"/>
    <w:rsid w:val="00F74618"/>
    <w:rsid w:val="00F76B56"/>
    <w:rsid w:val="00F8163C"/>
    <w:rsid w:val="00F8724E"/>
    <w:rsid w:val="00F95126"/>
    <w:rsid w:val="00FA3BC9"/>
    <w:rsid w:val="00FB4CAB"/>
    <w:rsid w:val="00FC19D2"/>
    <w:rsid w:val="00FC5715"/>
    <w:rsid w:val="00FD2986"/>
    <w:rsid w:val="00FD32A0"/>
    <w:rsid w:val="00FE7715"/>
    <w:rsid w:val="00FF16CA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00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00953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C1F09"/>
    <w:rPr>
      <w:sz w:val="28"/>
      <w:szCs w:val="28"/>
    </w:rPr>
  </w:style>
  <w:style w:type="paragraph" w:styleId="Tekstdymka">
    <w:name w:val="Balloon Text"/>
    <w:basedOn w:val="Normalny"/>
    <w:link w:val="TekstdymkaZnak"/>
    <w:rsid w:val="000C1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0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1F09"/>
    <w:rPr>
      <w:sz w:val="28"/>
      <w:szCs w:val="28"/>
    </w:rPr>
  </w:style>
  <w:style w:type="character" w:customStyle="1" w:styleId="lead">
    <w:name w:val="lead"/>
    <w:rsid w:val="005D5A57"/>
  </w:style>
  <w:style w:type="paragraph" w:styleId="Tekstpodstawowywcity">
    <w:name w:val="Body Text Indent"/>
    <w:basedOn w:val="Normalny"/>
    <w:link w:val="TekstpodstawowywcityZnak"/>
    <w:rsid w:val="008F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779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C03F-C3DF-4780-9096-ECEA0B1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1997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Mkus</dc:creator>
  <cp:lastModifiedBy>owczarek</cp:lastModifiedBy>
  <cp:revision>6</cp:revision>
  <cp:lastPrinted>2014-11-12T06:48:00Z</cp:lastPrinted>
  <dcterms:created xsi:type="dcterms:W3CDTF">2014-12-12T09:23:00Z</dcterms:created>
  <dcterms:modified xsi:type="dcterms:W3CDTF">2014-12-23T11:49:00Z</dcterms:modified>
</cp:coreProperties>
</file>